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BDC0" w14:textId="77777777" w:rsidR="0074468E" w:rsidRDefault="0074468E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0C354C7D" w14:textId="77777777" w:rsidR="00D52875" w:rsidRPr="00A71A41" w:rsidRDefault="00D52875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14:paraId="73C413CD" w14:textId="03FD5F7D" w:rsidR="00D0161B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ATTIVITÀ DI RICERCA</w:t>
      </w:r>
    </w:p>
    <w:p w14:paraId="2406956D" w14:textId="77777777" w:rsidR="00E47D55" w:rsidRPr="00E47D55" w:rsidRDefault="00E47D55" w:rsidP="00E47D5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INTERNATIONAL DOCTORATE IN CONSUMER LAW</w:t>
      </w:r>
    </w:p>
    <w:p w14:paraId="2A44F4E2" w14:textId="2B9F3264" w:rsidR="00E47D55" w:rsidRPr="00E47D55" w:rsidRDefault="00E47D55" w:rsidP="00E47D5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RESEARCH</w:t>
      </w:r>
    </w:p>
    <w:p w14:paraId="443888BF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I dottorandi sono stati impegnati in una costante attività di ricerca e nello studio delle tematiche legate al tema oggetto della tesi di ciascuno, al fine di procedere all’inquadramento scientifico della materia, approfondendo gli orientamenti dottrinali e giurisprudenziali più rilevanti, per poter consolidare le conoscenze già acquisite sul tema. </w:t>
      </w:r>
    </w:p>
    <w:p w14:paraId="47E2E92B" w14:textId="08E7AC7B" w:rsidR="00D0161B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L’attività di ricerca svolta è stata contraddistinta dalla redazione delle pubblicazioni a stampa di seguito riportate. </w:t>
      </w:r>
    </w:p>
    <w:p w14:paraId="70FC7377" w14:textId="77777777" w:rsidR="00E47D55" w:rsidRPr="00E47D55" w:rsidRDefault="00E47D55" w:rsidP="00E47D5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E47D55">
        <w:rPr>
          <w:rFonts w:cs="Garamond"/>
          <w:color w:val="000000"/>
          <w:sz w:val="24"/>
          <w:szCs w:val="24"/>
        </w:rPr>
        <w:t xml:space="preserve">The PhD </w:t>
      </w:r>
      <w:proofErr w:type="spellStart"/>
      <w:r w:rsidRPr="00E47D55">
        <w:rPr>
          <w:rFonts w:cs="Garamond"/>
          <w:color w:val="000000"/>
          <w:sz w:val="24"/>
          <w:szCs w:val="24"/>
        </w:rPr>
        <w:t>students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have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been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engaged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gramStart"/>
      <w:r w:rsidRPr="00E47D55">
        <w:rPr>
          <w:rFonts w:cs="Garamond"/>
          <w:color w:val="000000"/>
          <w:sz w:val="24"/>
          <w:szCs w:val="24"/>
        </w:rPr>
        <w:t>in a</w:t>
      </w:r>
      <w:proofErr w:type="gram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constant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research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activity and in the study of the </w:t>
      </w:r>
      <w:proofErr w:type="spellStart"/>
      <w:r w:rsidRPr="00E47D55">
        <w:rPr>
          <w:rFonts w:cs="Garamond"/>
          <w:color w:val="000000"/>
          <w:sz w:val="24"/>
          <w:szCs w:val="24"/>
        </w:rPr>
        <w:t>issues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related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to the </w:t>
      </w:r>
      <w:proofErr w:type="spellStart"/>
      <w:r w:rsidRPr="00E47D55">
        <w:rPr>
          <w:rFonts w:cs="Garamond"/>
          <w:color w:val="000000"/>
          <w:sz w:val="24"/>
          <w:szCs w:val="24"/>
        </w:rPr>
        <w:t>subject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of </w:t>
      </w:r>
      <w:proofErr w:type="spellStart"/>
      <w:r w:rsidRPr="00E47D55">
        <w:rPr>
          <w:rFonts w:cs="Garamond"/>
          <w:color w:val="000000"/>
          <w:sz w:val="24"/>
          <w:szCs w:val="24"/>
        </w:rPr>
        <w:t>each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thesis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, in </w:t>
      </w:r>
      <w:proofErr w:type="spellStart"/>
      <w:r w:rsidRPr="00E47D55">
        <w:rPr>
          <w:rFonts w:cs="Garamond"/>
          <w:color w:val="000000"/>
          <w:sz w:val="24"/>
          <w:szCs w:val="24"/>
        </w:rPr>
        <w:t>order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to </w:t>
      </w:r>
      <w:proofErr w:type="spellStart"/>
      <w:r w:rsidRPr="00E47D55">
        <w:rPr>
          <w:rFonts w:cs="Garamond"/>
          <w:color w:val="000000"/>
          <w:sz w:val="24"/>
          <w:szCs w:val="24"/>
        </w:rPr>
        <w:t>proceed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to the </w:t>
      </w:r>
      <w:proofErr w:type="spellStart"/>
      <w:r w:rsidRPr="00E47D55">
        <w:rPr>
          <w:rFonts w:cs="Garamond"/>
          <w:color w:val="000000"/>
          <w:sz w:val="24"/>
          <w:szCs w:val="24"/>
        </w:rPr>
        <w:t>scientific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framework of the </w:t>
      </w:r>
      <w:proofErr w:type="spellStart"/>
      <w:r w:rsidRPr="00E47D55">
        <w:rPr>
          <w:rFonts w:cs="Garamond"/>
          <w:color w:val="000000"/>
          <w:sz w:val="24"/>
          <w:szCs w:val="24"/>
        </w:rPr>
        <w:t>subject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, </w:t>
      </w:r>
      <w:proofErr w:type="spellStart"/>
      <w:r w:rsidRPr="00E47D55">
        <w:rPr>
          <w:rFonts w:cs="Garamond"/>
          <w:color w:val="000000"/>
          <w:sz w:val="24"/>
          <w:szCs w:val="24"/>
        </w:rPr>
        <w:t>deepening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E47D55">
        <w:rPr>
          <w:rFonts w:cs="Garamond"/>
          <w:color w:val="000000"/>
          <w:sz w:val="24"/>
          <w:szCs w:val="24"/>
        </w:rPr>
        <w:t>most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relevant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doctrinal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and </w:t>
      </w:r>
      <w:proofErr w:type="spellStart"/>
      <w:r w:rsidRPr="00E47D55">
        <w:rPr>
          <w:rFonts w:cs="Garamond"/>
          <w:color w:val="000000"/>
          <w:sz w:val="24"/>
          <w:szCs w:val="24"/>
        </w:rPr>
        <w:t>jurisprudential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orientations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, in </w:t>
      </w:r>
      <w:proofErr w:type="spellStart"/>
      <w:r w:rsidRPr="00E47D55">
        <w:rPr>
          <w:rFonts w:cs="Garamond"/>
          <w:color w:val="000000"/>
          <w:sz w:val="24"/>
          <w:szCs w:val="24"/>
        </w:rPr>
        <w:t>order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to consolidate the knowledge </w:t>
      </w:r>
      <w:proofErr w:type="spellStart"/>
      <w:r w:rsidRPr="00E47D55">
        <w:rPr>
          <w:rFonts w:cs="Garamond"/>
          <w:color w:val="000000"/>
          <w:sz w:val="24"/>
          <w:szCs w:val="24"/>
        </w:rPr>
        <w:t>already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acquired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on the </w:t>
      </w:r>
      <w:proofErr w:type="spellStart"/>
      <w:r w:rsidRPr="00E47D55">
        <w:rPr>
          <w:rFonts w:cs="Garamond"/>
          <w:color w:val="000000"/>
          <w:sz w:val="24"/>
          <w:szCs w:val="24"/>
        </w:rPr>
        <w:t>subject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. </w:t>
      </w:r>
    </w:p>
    <w:p w14:paraId="1FE69C0F" w14:textId="77777777" w:rsidR="00E47D55" w:rsidRPr="00E47D55" w:rsidRDefault="00E47D55" w:rsidP="00E47D5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E47D55">
        <w:rPr>
          <w:rFonts w:cs="Garamond"/>
          <w:color w:val="000000"/>
          <w:sz w:val="24"/>
          <w:szCs w:val="24"/>
        </w:rPr>
        <w:t xml:space="preserve">The </w:t>
      </w:r>
      <w:proofErr w:type="spellStart"/>
      <w:r w:rsidRPr="00E47D55">
        <w:rPr>
          <w:rFonts w:cs="Garamond"/>
          <w:color w:val="000000"/>
          <w:sz w:val="24"/>
          <w:szCs w:val="24"/>
        </w:rPr>
        <w:t>research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activity </w:t>
      </w:r>
      <w:proofErr w:type="spellStart"/>
      <w:r w:rsidRPr="00E47D55">
        <w:rPr>
          <w:rFonts w:cs="Garamond"/>
          <w:color w:val="000000"/>
          <w:sz w:val="24"/>
          <w:szCs w:val="24"/>
        </w:rPr>
        <w:t>carried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out </w:t>
      </w:r>
      <w:proofErr w:type="spellStart"/>
      <w:r w:rsidRPr="00E47D55">
        <w:rPr>
          <w:rFonts w:cs="Garamond"/>
          <w:color w:val="000000"/>
          <w:sz w:val="24"/>
          <w:szCs w:val="24"/>
        </w:rPr>
        <w:t>was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characterized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by the </w:t>
      </w:r>
      <w:proofErr w:type="spellStart"/>
      <w:r w:rsidRPr="00E47D55">
        <w:rPr>
          <w:rFonts w:cs="Garamond"/>
          <w:color w:val="000000"/>
          <w:sz w:val="24"/>
          <w:szCs w:val="24"/>
        </w:rPr>
        <w:t>drafting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of the following </w:t>
      </w:r>
      <w:proofErr w:type="spellStart"/>
      <w:r w:rsidRPr="00E47D55">
        <w:rPr>
          <w:rFonts w:cs="Garamond"/>
          <w:color w:val="000000"/>
          <w:sz w:val="24"/>
          <w:szCs w:val="24"/>
        </w:rPr>
        <w:t>printed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E47D55">
        <w:rPr>
          <w:rFonts w:cs="Garamond"/>
          <w:color w:val="000000"/>
          <w:sz w:val="24"/>
          <w:szCs w:val="24"/>
        </w:rPr>
        <w:t>publications</w:t>
      </w:r>
      <w:proofErr w:type="spellEnd"/>
      <w:r w:rsidRPr="00E47D55">
        <w:rPr>
          <w:rFonts w:cs="Garamond"/>
          <w:color w:val="000000"/>
          <w:sz w:val="24"/>
          <w:szCs w:val="24"/>
        </w:rPr>
        <w:t xml:space="preserve">. </w:t>
      </w:r>
    </w:p>
    <w:p w14:paraId="6CFDC0CA" w14:textId="77777777" w:rsidR="00E47D55" w:rsidRPr="00E47D55" w:rsidRDefault="00E47D55" w:rsidP="00E47D5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</w:p>
    <w:p w14:paraId="2B9186A8" w14:textId="77777777" w:rsidR="00E47D55" w:rsidRPr="00A71A41" w:rsidRDefault="00E47D55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6717F208" w14:textId="0764D9A0" w:rsidR="00D0161B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 CICLO</w:t>
      </w:r>
    </w:p>
    <w:p w14:paraId="42FD7FC1" w14:textId="656BBB1B" w:rsidR="00E47D55" w:rsidRPr="00E47D55" w:rsidRDefault="00E47D55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XXX CYCLE PUBLICATIONS</w:t>
      </w:r>
    </w:p>
    <w:p w14:paraId="1CAD0DD3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Lorenzo Baciucco</w:t>
      </w:r>
    </w:p>
    <w:p w14:paraId="0F6F9009" w14:textId="77CE6CB8" w:rsidR="00E47D55" w:rsidRPr="00E47D55" w:rsidRDefault="00D0161B" w:rsidP="00E47D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regolamento europeo sulla vendita: la materia delle clausole abusive e il particolare profilo dell’accertamento sul contenuto economico del contratto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4D4C43" w14:textId="77777777" w:rsidR="00E47D55" w:rsidRPr="00E47D55" w:rsidRDefault="00D0161B" w:rsidP="00E47D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condominio e la figura del consumatore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A71A41" w:rsidRPr="00A71A41">
        <w:rPr>
          <w:rFonts w:cs="Garamond"/>
          <w:color w:val="000000"/>
          <w:sz w:val="24"/>
          <w:szCs w:val="24"/>
        </w:rPr>
        <w:t>2</w:t>
      </w:r>
      <w:r w:rsidRPr="00A71A41">
        <w:rPr>
          <w:rFonts w:cs="Garamond"/>
          <w:color w:val="000000"/>
          <w:sz w:val="24"/>
          <w:szCs w:val="24"/>
        </w:rPr>
        <w:t>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E47D55" w:rsidRPr="00E47D55">
        <w:rPr>
          <w:rFonts w:cs="Garamond"/>
          <w:i/>
          <w:iCs/>
          <w:color w:val="000000"/>
          <w:sz w:val="24"/>
          <w:szCs w:val="24"/>
        </w:rPr>
        <w:t xml:space="preserve"> </w:t>
      </w:r>
    </w:p>
    <w:p w14:paraId="3F7D9F9C" w14:textId="77777777" w:rsidR="00E47D55" w:rsidRPr="00E47D55" w:rsidRDefault="00D0161B" w:rsidP="00E47D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collegamento negoziale in materia di credito al consumo: vecchia e nuova disciplina a confronto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III, 2015</w:t>
      </w:r>
      <w:r w:rsidR="00BD71C5">
        <w:rPr>
          <w:rFonts w:cs="Garamond"/>
          <w:color w:val="000000"/>
          <w:sz w:val="24"/>
          <w:szCs w:val="24"/>
        </w:rPr>
        <w:t>;</w:t>
      </w:r>
      <w:r w:rsidR="00E47D55" w:rsidRPr="00E47D55">
        <w:rPr>
          <w:rFonts w:cs="Garamond"/>
          <w:i/>
          <w:iCs/>
          <w:color w:val="000000"/>
          <w:sz w:val="24"/>
          <w:szCs w:val="24"/>
        </w:rPr>
        <w:t xml:space="preserve"> </w:t>
      </w:r>
    </w:p>
    <w:p w14:paraId="39B3B748" w14:textId="77777777" w:rsidR="00D52875" w:rsidRPr="00A71A41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lastRenderedPageBreak/>
        <w:t xml:space="preserve">La responsabilità civile per danno da cose nell’esercizio di attività sportiva,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sport,</w:t>
      </w:r>
      <w:r w:rsidR="00A71A41" w:rsidRPr="00A71A41">
        <w:rPr>
          <w:rFonts w:cs="Garamond"/>
          <w:color w:val="000000"/>
          <w:sz w:val="24"/>
          <w:szCs w:val="24"/>
        </w:rPr>
        <w:t>2-3, 2015, p. 349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3E8B2703" w14:textId="77777777" w:rsidR="00D0161B" w:rsidRPr="00BD71C5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Un nuovo contratto tipico nell’ordinamento italiano: il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rent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to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buy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critica del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derechoprivado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>,</w:t>
      </w:r>
      <w:r w:rsidR="00A71A41" w:rsidRPr="00A71A41">
        <w:rPr>
          <w:rFonts w:cs="Garamond"/>
          <w:color w:val="000000"/>
          <w:sz w:val="24"/>
          <w:szCs w:val="24"/>
        </w:rPr>
        <w:t xml:space="preserve"> 2017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7B648078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entre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la venta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común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y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las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ventas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sectoriales</w:t>
      </w:r>
      <w:proofErr w:type="spellEnd"/>
      <w:r>
        <w:rPr>
          <w:rFonts w:cs="Times"/>
          <w:color w:val="000000"/>
          <w:sz w:val="24"/>
          <w:szCs w:val="24"/>
        </w:rPr>
        <w:t>,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59A16863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>art. 1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202E9447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 xml:space="preserve">art. 2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35FB3A5D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art. 67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Cod.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01FAE212" w14:textId="77777777" w:rsidR="00BD71C5" w:rsidRPr="00A71A41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 xml:space="preserve">La responsabilità per i danni prodotti dal demanio stradale: un ritorno al privilegio della Pubblica </w:t>
      </w:r>
      <w:proofErr w:type="gramStart"/>
      <w:r w:rsidRPr="00BD71C5">
        <w:rPr>
          <w:rFonts w:cs="Times"/>
          <w:i/>
          <w:color w:val="000000"/>
          <w:sz w:val="24"/>
          <w:szCs w:val="24"/>
        </w:rPr>
        <w:t>Amministrazione?</w:t>
      </w:r>
      <w:r w:rsidRPr="00BD71C5">
        <w:rPr>
          <w:rFonts w:cs="Times"/>
          <w:color w:val="000000"/>
          <w:sz w:val="24"/>
          <w:szCs w:val="24"/>
        </w:rPr>
        <w:t>,</w:t>
      </w:r>
      <w:proofErr w:type="gramEnd"/>
      <w:r w:rsidRPr="00BD71C5">
        <w:rPr>
          <w:rFonts w:cs="Times"/>
          <w:color w:val="000000"/>
          <w:sz w:val="24"/>
          <w:szCs w:val="24"/>
        </w:rPr>
        <w:t xml:space="preserve"> in Le Corti Umbre, in corso di pubbl</w:t>
      </w:r>
      <w:r>
        <w:rPr>
          <w:rFonts w:cs="Times"/>
          <w:color w:val="000000"/>
          <w:sz w:val="24"/>
          <w:szCs w:val="24"/>
        </w:rPr>
        <w:t>icazione</w:t>
      </w:r>
      <w:r w:rsidRPr="00BD71C5">
        <w:rPr>
          <w:rFonts w:cs="Times"/>
          <w:color w:val="000000"/>
          <w:sz w:val="24"/>
          <w:szCs w:val="24"/>
        </w:rPr>
        <w:t>.</w:t>
      </w:r>
    </w:p>
    <w:p w14:paraId="183ED01A" w14:textId="77777777" w:rsidR="00842114" w:rsidRDefault="00842114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10BF8FAE" w14:textId="70B98561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Dott.ssa Raffaella Innocenti</w:t>
      </w:r>
    </w:p>
    <w:p w14:paraId="1FF7B01A" w14:textId="77777777" w:rsidR="00D52875" w:rsidRPr="00A71A41" w:rsidRDefault="00D52875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Sulla revocatoria fallimentare delle rimesse in conto corrente bancario in una recente pronuncia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 29 settembre 2014,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</w:p>
    <w:p w14:paraId="7C2B8E2A" w14:textId="77777777" w:rsidR="00D52875" w:rsidRPr="00A71A41" w:rsidRDefault="00D0161B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 pagamenti anomali nella revocatoria fallimentare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Perugia, 20 agosto 2013,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1,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F9CE5B" w14:textId="77777777" w:rsidR="00D52875" w:rsidRPr="00A71A41" w:rsidRDefault="00D0161B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sub. Artt. 318, 319, 320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F85261" w:rsidRPr="00A71A41">
        <w:rPr>
          <w:rFonts w:cs="Garamond"/>
          <w:smallCaps/>
          <w:color w:val="000000"/>
          <w:sz w:val="24"/>
          <w:szCs w:val="24"/>
        </w:rPr>
        <w:t xml:space="preserve">G. Alpa E V. </w:t>
      </w:r>
      <w:proofErr w:type="gramStart"/>
      <w:r w:rsidR="00F85261" w:rsidRPr="00A71A41">
        <w:rPr>
          <w:rFonts w:cs="Garamond"/>
          <w:smallCaps/>
          <w:color w:val="000000"/>
          <w:sz w:val="24"/>
          <w:szCs w:val="24"/>
        </w:rPr>
        <w:t>Mariconda</w:t>
      </w:r>
      <w:r w:rsidRPr="00A71A41">
        <w:rPr>
          <w:rFonts w:cs="Garamond"/>
          <w:color w:val="000000"/>
          <w:sz w:val="24"/>
          <w:szCs w:val="24"/>
        </w:rPr>
        <w:t>(</w:t>
      </w:r>
      <w:proofErr w:type="gramEnd"/>
      <w:r w:rsidRPr="00A71A41">
        <w:rPr>
          <w:rFonts w:cs="Garamond"/>
          <w:color w:val="000000"/>
          <w:sz w:val="24"/>
          <w:szCs w:val="24"/>
        </w:rPr>
        <w:t xml:space="preserve">a cura di),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Codice commentato dei contratti – I ed.,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, 2017;</w:t>
      </w:r>
    </w:p>
    <w:p w14:paraId="636E3E84" w14:textId="77777777" w:rsidR="00D52875" w:rsidRPr="00F93F18" w:rsidRDefault="00D52875" w:rsidP="00A71A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Conflitto di interessi e responsabilità dell’intermediario nei contratti abbinati</w:t>
      </w:r>
      <w:r w:rsidRPr="00A71A41">
        <w:rPr>
          <w:rFonts w:cs="Garamond"/>
          <w:color w:val="000000"/>
          <w:sz w:val="24"/>
          <w:szCs w:val="24"/>
        </w:rPr>
        <w:t xml:space="preserve">, in volume </w:t>
      </w:r>
      <w:r w:rsidRPr="00A71A41">
        <w:rPr>
          <w:rFonts w:cs="Garamond"/>
          <w:i/>
          <w:iCs/>
          <w:color w:val="000000"/>
          <w:sz w:val="24"/>
          <w:szCs w:val="24"/>
        </w:rPr>
        <w:t>La Banca – Assicurazione</w:t>
      </w:r>
      <w:r w:rsidRPr="00A71A41">
        <w:rPr>
          <w:rFonts w:cs="Garamond"/>
          <w:color w:val="000000"/>
          <w:sz w:val="24"/>
          <w:szCs w:val="24"/>
        </w:rPr>
        <w:t xml:space="preserve">, (a cura di </w:t>
      </w:r>
      <w:r w:rsidR="00F85261" w:rsidRPr="00A71A41">
        <w:rPr>
          <w:rFonts w:cs="Garamond"/>
          <w:smallCaps/>
          <w:color w:val="000000"/>
          <w:sz w:val="24"/>
          <w:szCs w:val="24"/>
        </w:rPr>
        <w:t xml:space="preserve">L. Mezzasoma, A. Bellucci, A. </w:t>
      </w:r>
      <w:proofErr w:type="spellStart"/>
      <w:r w:rsidR="00F85261" w:rsidRPr="00A71A41">
        <w:rPr>
          <w:rFonts w:cs="Garamond"/>
          <w:smallCaps/>
          <w:color w:val="000000"/>
          <w:sz w:val="24"/>
          <w:szCs w:val="24"/>
        </w:rPr>
        <w:t>Candian</w:t>
      </w:r>
      <w:proofErr w:type="spellEnd"/>
      <w:r w:rsidR="00F85261" w:rsidRPr="00A71A41">
        <w:rPr>
          <w:rFonts w:cs="Garamond"/>
          <w:smallCaps/>
          <w:color w:val="000000"/>
          <w:sz w:val="24"/>
          <w:szCs w:val="24"/>
        </w:rPr>
        <w:t>, P. Corrias, S. Landini, E. Llamas Pombo</w:t>
      </w:r>
      <w:r w:rsidRPr="00A71A41">
        <w:rPr>
          <w:rFonts w:cs="Garamond"/>
          <w:color w:val="000000"/>
          <w:sz w:val="24"/>
          <w:szCs w:val="24"/>
        </w:rPr>
        <w:t>), ESI, 2017</w:t>
      </w:r>
      <w:r w:rsidR="00F93F18">
        <w:rPr>
          <w:rFonts w:cs="Garamond"/>
          <w:color w:val="000000"/>
          <w:sz w:val="24"/>
          <w:szCs w:val="24"/>
        </w:rPr>
        <w:t>;</w:t>
      </w:r>
    </w:p>
    <w:p w14:paraId="17613668" w14:textId="77777777" w:rsidR="00F93F18" w:rsidRPr="00A71A41" w:rsidRDefault="00F93F18" w:rsidP="00A71A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93F18">
        <w:rPr>
          <w:rFonts w:cs="Times"/>
          <w:i/>
          <w:color w:val="000000"/>
          <w:sz w:val="24"/>
          <w:szCs w:val="24"/>
        </w:rPr>
        <w:t>Riflessioni sull'oggetto della vendita di partecipazioni sociali</w:t>
      </w:r>
      <w:r w:rsidRPr="00F93F18">
        <w:rPr>
          <w:rFonts w:cs="Times"/>
          <w:color w:val="000000"/>
          <w:sz w:val="24"/>
          <w:szCs w:val="24"/>
        </w:rPr>
        <w:t xml:space="preserve">, in </w:t>
      </w:r>
      <w:r w:rsidRPr="00F93F18">
        <w:rPr>
          <w:rFonts w:cs="Times"/>
          <w:i/>
          <w:color w:val="000000"/>
          <w:sz w:val="24"/>
          <w:szCs w:val="24"/>
        </w:rPr>
        <w:t>Rivista giuridica sarda</w:t>
      </w:r>
      <w:r w:rsidRPr="00F93F18">
        <w:rPr>
          <w:rFonts w:cs="Times"/>
          <w:color w:val="000000"/>
          <w:sz w:val="24"/>
          <w:szCs w:val="24"/>
        </w:rPr>
        <w:t>, 2</w:t>
      </w:r>
      <w:r>
        <w:rPr>
          <w:rFonts w:cs="Times"/>
          <w:color w:val="000000"/>
          <w:sz w:val="24"/>
          <w:szCs w:val="24"/>
        </w:rPr>
        <w:t xml:space="preserve">, </w:t>
      </w:r>
      <w:r w:rsidRPr="00F93F18">
        <w:rPr>
          <w:rFonts w:cs="Times"/>
          <w:color w:val="000000"/>
          <w:sz w:val="24"/>
          <w:szCs w:val="24"/>
        </w:rPr>
        <w:t>2018</w:t>
      </w:r>
      <w:r>
        <w:rPr>
          <w:rFonts w:cs="Times"/>
          <w:color w:val="000000"/>
          <w:sz w:val="24"/>
          <w:szCs w:val="24"/>
        </w:rPr>
        <w:t>.</w:t>
      </w:r>
    </w:p>
    <w:p w14:paraId="0770EF34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Dott.ssa Monica Pucci</w:t>
      </w:r>
    </w:p>
    <w:p w14:paraId="129552F1" w14:textId="77777777" w:rsidR="00D52875" w:rsidRPr="00A71A41" w:rsidRDefault="00D0161B" w:rsidP="00D528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Codice deontologico e responsabilità del medico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M. Nuzzo</w:t>
      </w:r>
      <w:r w:rsidR="00FA6F85">
        <w:rPr>
          <w:rFonts w:cs="Garamond"/>
          <w:smallCaps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 xml:space="preserve">(a cura di) </w:t>
      </w:r>
      <w:r w:rsidRPr="00A71A41">
        <w:rPr>
          <w:rFonts w:cs="Garamond"/>
          <w:i/>
          <w:iCs/>
          <w:color w:val="000000"/>
          <w:sz w:val="24"/>
          <w:szCs w:val="24"/>
        </w:rPr>
        <w:t>Il principio di sussidiarietà nel diritto privato</w:t>
      </w:r>
      <w:r w:rsidRPr="00A71A41">
        <w:rPr>
          <w:rFonts w:cs="Garamond"/>
          <w:color w:val="000000"/>
          <w:sz w:val="24"/>
          <w:szCs w:val="24"/>
        </w:rPr>
        <w:t xml:space="preserve">, Giappichelli, 2014, Tomo I; </w:t>
      </w:r>
    </w:p>
    <w:p w14:paraId="059BB21C" w14:textId="77777777" w:rsidR="00D52875" w:rsidRPr="00A71A41" w:rsidRDefault="00D0161B" w:rsidP="00D528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in tema di responsabilità medica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10C8562" w14:textId="77777777" w:rsidR="00FA6F85" w:rsidRPr="00FA6F85" w:rsidRDefault="00D0161B" w:rsidP="00FA6F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Azione di classe e giudizio di ammissibilità</w:t>
      </w:r>
      <w:r w:rsidRPr="00A71A41">
        <w:rPr>
          <w:rFonts w:cs="Garamond"/>
          <w:color w:val="000000"/>
          <w:sz w:val="24"/>
          <w:szCs w:val="24"/>
        </w:rPr>
        <w:t xml:space="preserve">, nota a </w:t>
      </w:r>
      <w:proofErr w:type="spellStart"/>
      <w:r w:rsidRPr="00A71A41">
        <w:rPr>
          <w:rFonts w:cs="Garamond"/>
          <w:color w:val="000000"/>
          <w:sz w:val="24"/>
          <w:szCs w:val="24"/>
        </w:rPr>
        <w:t>Trib</w:t>
      </w:r>
      <w:proofErr w:type="spellEnd"/>
      <w:r w:rsidRPr="00A71A41">
        <w:rPr>
          <w:rFonts w:cs="Garamond"/>
          <w:color w:val="000000"/>
          <w:sz w:val="24"/>
          <w:szCs w:val="24"/>
        </w:rPr>
        <w:t>. Cagliari, 19 febbraio 2014, n. 22</w:t>
      </w:r>
      <w:r w:rsidR="00D52875" w:rsidRPr="00A71A41">
        <w:rPr>
          <w:rFonts w:cs="Garamond"/>
          <w:color w:val="000000"/>
          <w:sz w:val="24"/>
          <w:szCs w:val="24"/>
        </w:rPr>
        <w:t xml:space="preserve">48 e App. Cagliari, </w:t>
      </w:r>
      <w:r w:rsidRPr="00A71A41">
        <w:rPr>
          <w:rFonts w:cs="Garamond"/>
          <w:color w:val="000000"/>
          <w:sz w:val="24"/>
          <w:szCs w:val="24"/>
        </w:rPr>
        <w:t xml:space="preserve">18 luglio 2014, in </w:t>
      </w:r>
      <w:r w:rsidRPr="00A71A41">
        <w:rPr>
          <w:rFonts w:cs="Garamond"/>
          <w:i/>
          <w:iCs/>
          <w:color w:val="000000"/>
          <w:sz w:val="24"/>
          <w:szCs w:val="24"/>
        </w:rPr>
        <w:t>Riv. giuridica sarda</w:t>
      </w:r>
      <w:r w:rsidR="00D52875" w:rsidRPr="00A71A41">
        <w:rPr>
          <w:rFonts w:cs="Garamond"/>
          <w:color w:val="000000"/>
          <w:sz w:val="24"/>
          <w:szCs w:val="24"/>
        </w:rPr>
        <w:t>, 1, 2015</w:t>
      </w:r>
      <w:r w:rsidR="00FA6F85">
        <w:rPr>
          <w:rFonts w:cs="Garamond"/>
          <w:color w:val="000000"/>
          <w:sz w:val="24"/>
          <w:szCs w:val="24"/>
        </w:rPr>
        <w:t xml:space="preserve">; </w:t>
      </w:r>
    </w:p>
    <w:p w14:paraId="1865D6B2" w14:textId="77777777" w:rsidR="00FA6F85" w:rsidRPr="00FA6F85" w:rsidRDefault="00FA6F85" w:rsidP="00FA6F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6F85">
        <w:rPr>
          <w:rFonts w:cs="Garamond"/>
          <w:i/>
          <w:color w:val="000000"/>
          <w:sz w:val="24"/>
          <w:szCs w:val="24"/>
        </w:rPr>
        <w:t>Turismo sostenibile e dimensione normativa</w:t>
      </w:r>
      <w:r w:rsidRPr="00FA6F85">
        <w:rPr>
          <w:rFonts w:cs="Garamond"/>
          <w:color w:val="000000"/>
          <w:sz w:val="24"/>
          <w:szCs w:val="24"/>
        </w:rPr>
        <w:t xml:space="preserve">, in </w:t>
      </w:r>
      <w:r w:rsidRPr="00FA6F85">
        <w:rPr>
          <w:rFonts w:cs="Garamond"/>
          <w:i/>
          <w:color w:val="000000"/>
          <w:sz w:val="24"/>
          <w:szCs w:val="24"/>
        </w:rPr>
        <w:t>Le Corti umbre</w:t>
      </w:r>
      <w:r w:rsidRPr="00FA6F85">
        <w:rPr>
          <w:rFonts w:cs="Garamond"/>
          <w:color w:val="000000"/>
          <w:sz w:val="24"/>
          <w:szCs w:val="24"/>
        </w:rPr>
        <w:t>, n. 1, 2018</w:t>
      </w:r>
      <w:r>
        <w:rPr>
          <w:rFonts w:cs="Garamond"/>
          <w:color w:val="000000"/>
          <w:sz w:val="24"/>
          <w:szCs w:val="24"/>
        </w:rPr>
        <w:t>.</w:t>
      </w:r>
    </w:p>
    <w:p w14:paraId="15EA3931" w14:textId="77777777" w:rsidR="00D52875" w:rsidRPr="00A71A41" w:rsidRDefault="00D52875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5A0CE10" w14:textId="452DD078" w:rsidR="00D0161B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XXXI CICLO</w:t>
      </w:r>
    </w:p>
    <w:p w14:paraId="09A36EBA" w14:textId="28DD0A42" w:rsidR="00E47D55" w:rsidRPr="00E47D55" w:rsidRDefault="00E47D55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XXX</w:t>
      </w:r>
      <w:r w:rsidRPr="00E47D55">
        <w:rPr>
          <w:rFonts w:cs="Times"/>
          <w:b/>
          <w:bCs/>
          <w:color w:val="000000"/>
          <w:sz w:val="24"/>
          <w:szCs w:val="24"/>
        </w:rPr>
        <w:t>I</w:t>
      </w:r>
      <w:r w:rsidRPr="00E47D55">
        <w:rPr>
          <w:rFonts w:cs="Times"/>
          <w:b/>
          <w:bCs/>
          <w:color w:val="000000"/>
          <w:sz w:val="24"/>
          <w:szCs w:val="24"/>
        </w:rPr>
        <w:t xml:space="preserve"> CYCLE PUBLICATIONS</w:t>
      </w:r>
    </w:p>
    <w:p w14:paraId="150E1DAC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Maria Giulia Ortolani </w:t>
      </w:r>
    </w:p>
    <w:p w14:paraId="59950B80" w14:textId="77777777" w:rsidR="00D0161B" w:rsidRPr="00A71A41" w:rsidRDefault="00D0161B" w:rsidP="00D5287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Il principio di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giustiziabilità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i rapporti tra ordinamento sportivo e ordinamento della Repubblica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D52875" w:rsidRPr="00A71A41">
        <w:rPr>
          <w:rFonts w:cs="Garamond"/>
          <w:color w:val="000000"/>
          <w:sz w:val="24"/>
          <w:szCs w:val="24"/>
        </w:rPr>
        <w:t xml:space="preserve">2015,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. 2-3, p. 417;</w:t>
      </w:r>
    </w:p>
    <w:p w14:paraId="45E71A4C" w14:textId="77777777" w:rsidR="00D52875" w:rsidRPr="00923491" w:rsidRDefault="00D52875" w:rsidP="006A10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eastAsia="Times New Roman" w:cs="Times New Roman"/>
          <w:i/>
          <w:color w:val="0C0C0F"/>
          <w:sz w:val="24"/>
          <w:szCs w:val="24"/>
          <w:lang w:eastAsia="it-IT"/>
        </w:rPr>
        <w:t>L’affidamento diretto dell’attività sportiva universitaria agli enti di promozione sportiva</w:t>
      </w:r>
      <w:r w:rsidRPr="00A71A41">
        <w:rPr>
          <w:rFonts w:eastAsia="Times New Roman" w:cs="Times New Roman"/>
          <w:color w:val="0C0C0F"/>
          <w:sz w:val="24"/>
          <w:szCs w:val="24"/>
          <w:lang w:eastAsia="it-IT"/>
        </w:rPr>
        <w:t>,</w:t>
      </w:r>
      <w:r w:rsidR="00070006">
        <w:rPr>
          <w:rFonts w:eastAsia="Times New Roman" w:cs="Times New Roman"/>
          <w:color w:val="0C0C0F"/>
          <w:sz w:val="24"/>
          <w:szCs w:val="24"/>
          <w:lang w:eastAsia="it-IT"/>
        </w:rPr>
        <w:t xml:space="preserve"> </w:t>
      </w:r>
      <w:r w:rsidR="006A1082" w:rsidRPr="00A71A41">
        <w:rPr>
          <w:rFonts w:cs="Garamond"/>
          <w:color w:val="000000"/>
          <w:sz w:val="24"/>
          <w:szCs w:val="24"/>
        </w:rPr>
        <w:t xml:space="preserve">in </w:t>
      </w:r>
      <w:r w:rsidR="006A1082"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6A1082" w:rsidRPr="00A71A41">
        <w:rPr>
          <w:rFonts w:cs="Garamond"/>
          <w:color w:val="000000"/>
          <w:sz w:val="24"/>
          <w:szCs w:val="24"/>
        </w:rPr>
        <w:t xml:space="preserve">2016, </w:t>
      </w:r>
      <w:proofErr w:type="spellStart"/>
      <w:r w:rsidR="006A1082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6A1082" w:rsidRPr="00A71A41">
        <w:rPr>
          <w:rFonts w:cs="Garamond"/>
          <w:color w:val="000000"/>
          <w:sz w:val="24"/>
          <w:szCs w:val="24"/>
        </w:rPr>
        <w:t>. 1-3, p. 148;</w:t>
      </w:r>
    </w:p>
    <w:p w14:paraId="4DE8A58F" w14:textId="77777777" w:rsidR="001B43C7" w:rsidRDefault="001B43C7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contratto di spedalità e i parametri di condotta dell’esercente la professione sanitaria alla luce della l. 8 marzo 2017 n. 24, Nota a sentenza (Tribunale di Perugia, 31 luglio 2017, n. 1308)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r w:rsidRPr="001B43C7">
        <w:rPr>
          <w:rFonts w:cs="Times"/>
          <w:i/>
          <w:color w:val="000000"/>
          <w:sz w:val="24"/>
          <w:szCs w:val="24"/>
        </w:rPr>
        <w:t>Le Corti Umbre</w:t>
      </w:r>
      <w:r w:rsidRPr="001B43C7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="002F097D">
        <w:rPr>
          <w:rFonts w:cs="Times"/>
          <w:color w:val="000000"/>
          <w:sz w:val="24"/>
          <w:szCs w:val="24"/>
        </w:rPr>
        <w:t>3/2017, pp. 557-579</w:t>
      </w:r>
      <w:r>
        <w:rPr>
          <w:rFonts w:cs="Times"/>
          <w:color w:val="000000"/>
          <w:sz w:val="24"/>
          <w:szCs w:val="24"/>
        </w:rPr>
        <w:t>;</w:t>
      </w:r>
    </w:p>
    <w:p w14:paraId="71243184" w14:textId="77777777" w:rsidR="001B43C7" w:rsidRDefault="001B43C7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cláusola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claims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made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contrato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seguro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sanitario y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los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valores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constitucionales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ordinamento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jurídico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italiano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1B43C7">
        <w:rPr>
          <w:rFonts w:cs="Times"/>
          <w:color w:val="000000"/>
          <w:sz w:val="24"/>
          <w:szCs w:val="24"/>
        </w:rPr>
        <w:t>, Salamanca</w:t>
      </w:r>
      <w:r w:rsidR="00665B53">
        <w:rPr>
          <w:rFonts w:cs="Times"/>
          <w:color w:val="000000"/>
          <w:sz w:val="24"/>
          <w:szCs w:val="24"/>
        </w:rPr>
        <w:t>, 2018, pp. 117-128</w:t>
      </w:r>
      <w:r>
        <w:rPr>
          <w:rFonts w:cs="Times"/>
          <w:color w:val="000000"/>
          <w:sz w:val="24"/>
          <w:szCs w:val="24"/>
        </w:rPr>
        <w:t>;</w:t>
      </w:r>
    </w:p>
    <w:p w14:paraId="148C9B9A" w14:textId="77777777" w:rsidR="001B43C7" w:rsidRPr="00070006" w:rsidRDefault="00665B53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La tipizzazione della clausola </w:t>
      </w:r>
      <w:proofErr w:type="spellStart"/>
      <w:r>
        <w:rPr>
          <w:rFonts w:cs="Times"/>
          <w:i/>
          <w:color w:val="000000"/>
          <w:sz w:val="24"/>
          <w:szCs w:val="24"/>
        </w:rPr>
        <w:t>claims</w:t>
      </w:r>
      <w:proofErr w:type="spellEnd"/>
      <w:r>
        <w:rPr>
          <w:rFonts w:cs="Times"/>
          <w:i/>
          <w:color w:val="000000"/>
          <w:sz w:val="24"/>
          <w:szCs w:val="24"/>
        </w:rPr>
        <w:t xml:space="preserve"> made nel contratto assicurativo della responsabilità sanitaria,</w:t>
      </w:r>
      <w:r w:rsidR="001B43C7" w:rsidRPr="001B43C7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>
        <w:rPr>
          <w:rFonts w:cs="Garamond"/>
          <w:color w:val="000000"/>
          <w:sz w:val="24"/>
          <w:szCs w:val="24"/>
        </w:rPr>
        <w:t>.</w:t>
      </w:r>
    </w:p>
    <w:p w14:paraId="713A2627" w14:textId="77777777" w:rsidR="00070006" w:rsidRPr="001B43C7" w:rsidRDefault="00070006" w:rsidP="00070006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5ED6A3BF" w14:textId="77777777" w:rsidR="00D0161B" w:rsidRPr="001B43C7" w:rsidRDefault="00D0161B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Garamond"/>
          <w:b/>
          <w:bCs/>
          <w:color w:val="000000"/>
          <w:sz w:val="24"/>
          <w:szCs w:val="24"/>
        </w:rPr>
        <w:t xml:space="preserve">Dott. Federico Fratini </w:t>
      </w:r>
    </w:p>
    <w:p w14:paraId="6B54C0B5" w14:textId="77777777" w:rsidR="00D52875" w:rsidRPr="00A71A41" w:rsidRDefault="00D0161B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Rilevanza esterna delle norme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endoassociative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validità dei contratti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2-3, 2015, p. 402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2D71D64B" w14:textId="77777777" w:rsidR="006A1082" w:rsidRPr="00A71A41" w:rsidRDefault="006A1082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Attività di intermediazione sportiva e professione forense,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1, 2017, p. 155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0336BC83" w14:textId="77777777" w:rsidR="00923491" w:rsidRPr="00923491" w:rsidRDefault="00923491" w:rsidP="009234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>. 10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65EAA915" w14:textId="77777777" w:rsidR="00923491" w:rsidRPr="00923491" w:rsidRDefault="00923491" w:rsidP="009234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Pr="00A71A41">
        <w:rPr>
          <w:rFonts w:cs="Garamond"/>
          <w:i/>
          <w:iCs/>
          <w:color w:val="000000"/>
          <w:sz w:val="24"/>
          <w:szCs w:val="24"/>
        </w:rPr>
        <w:t>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11,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76656D02" w14:textId="77777777" w:rsidR="00D52875" w:rsidRPr="00A71A41" w:rsidRDefault="00923491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12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D0161B"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="00D0161B" w:rsidRPr="00A71A41">
        <w:rPr>
          <w:rFonts w:cs="Garamond"/>
          <w:color w:val="000000"/>
          <w:sz w:val="24"/>
          <w:szCs w:val="24"/>
        </w:rPr>
        <w:t xml:space="preserve">, 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 xml:space="preserve">G. Perlingieri, E. Capobianco E L. </w:t>
      </w:r>
      <w:proofErr w:type="gramStart"/>
      <w:r w:rsidR="00A71A41" w:rsidRPr="00A71A41">
        <w:rPr>
          <w:rFonts w:cs="Times New Roman"/>
          <w:smallCaps/>
          <w:color w:val="000000"/>
          <w:sz w:val="24"/>
          <w:szCs w:val="24"/>
        </w:rPr>
        <w:t>Mezzasoma</w:t>
      </w:r>
      <w:r w:rsidR="00D0161B" w:rsidRPr="00A71A41">
        <w:rPr>
          <w:rFonts w:cs="Times"/>
          <w:i/>
          <w:iCs/>
          <w:color w:val="000000"/>
          <w:sz w:val="24"/>
          <w:szCs w:val="24"/>
        </w:rPr>
        <w:t>(</w:t>
      </w:r>
      <w:proofErr w:type="gramEnd"/>
      <w:r w:rsidR="00D0161B" w:rsidRPr="00A71A41">
        <w:rPr>
          <w:rFonts w:cs="Times"/>
          <w:i/>
          <w:iCs/>
          <w:color w:val="000000"/>
          <w:sz w:val="24"/>
          <w:szCs w:val="24"/>
        </w:rPr>
        <w:t>a cura di), Codice del Consumo e leggi collegate annotato con la dottrina e la giurisprudenza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0161B" w:rsidRPr="00A71A41">
        <w:rPr>
          <w:rFonts w:cs="Times New Roman"/>
          <w:color w:val="000000"/>
          <w:sz w:val="24"/>
          <w:szCs w:val="24"/>
        </w:rPr>
        <w:t>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E4486" w:rsidRPr="00A71A41">
        <w:rPr>
          <w:rFonts w:cs="Garamond"/>
          <w:color w:val="000000"/>
          <w:sz w:val="24"/>
          <w:szCs w:val="24"/>
        </w:rPr>
        <w:t>in</w:t>
      </w:r>
      <w:proofErr w:type="spellEnd"/>
      <w:r w:rsidR="009E4486" w:rsidRPr="00A71A41">
        <w:rPr>
          <w:rFonts w:cs="Garamond"/>
          <w:color w:val="000000"/>
          <w:sz w:val="24"/>
          <w:szCs w:val="24"/>
        </w:rPr>
        <w:t xml:space="preserve"> corso di pubblicazione;</w:t>
      </w:r>
    </w:p>
    <w:p w14:paraId="2C13E987" w14:textId="77777777" w:rsidR="00D0161B" w:rsidRPr="00923491" w:rsidRDefault="00D0161B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45, Cod.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 xml:space="preserve">G. Perlingieri, E. Capobianco E L. </w:t>
      </w:r>
      <w:proofErr w:type="gramStart"/>
      <w:r w:rsidR="00A71A41" w:rsidRPr="00A71A41">
        <w:rPr>
          <w:rFonts w:cs="Times New Roman"/>
          <w:smallCaps/>
          <w:color w:val="000000"/>
          <w:sz w:val="24"/>
          <w:szCs w:val="24"/>
        </w:rPr>
        <w:t>Mezzasoma</w:t>
      </w:r>
      <w:r w:rsidRPr="00A71A41">
        <w:rPr>
          <w:rFonts w:cs="Times"/>
          <w:i/>
          <w:iCs/>
          <w:color w:val="000000"/>
          <w:sz w:val="24"/>
          <w:szCs w:val="24"/>
        </w:rPr>
        <w:t>(</w:t>
      </w:r>
      <w:proofErr w:type="gramEnd"/>
      <w:r w:rsidRPr="00A71A41">
        <w:rPr>
          <w:rFonts w:cs="Times"/>
          <w:i/>
          <w:iCs/>
          <w:color w:val="000000"/>
          <w:sz w:val="24"/>
          <w:szCs w:val="24"/>
        </w:rPr>
        <w:t>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23491">
        <w:rPr>
          <w:rFonts w:cs="Times New Roman"/>
          <w:color w:val="000000"/>
          <w:sz w:val="24"/>
          <w:szCs w:val="24"/>
        </w:rPr>
        <w:t xml:space="preserve"> </w:t>
      </w:r>
      <w:r w:rsidR="00923491">
        <w:rPr>
          <w:rFonts w:cs="Garamond"/>
          <w:color w:val="000000"/>
          <w:sz w:val="24"/>
          <w:szCs w:val="24"/>
        </w:rPr>
        <w:t>in corso di pubblicazione;</w:t>
      </w:r>
    </w:p>
    <w:p w14:paraId="12F2A701" w14:textId="77777777" w:rsidR="00070006" w:rsidRPr="00070006" w:rsidRDefault="00070006" w:rsidP="00070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lastRenderedPageBreak/>
        <w:t>Pagamento elettronico e tutela del consumatore. la responsabilità dei prestatori di servizi di pagamento alla luce della nuova direttiva 2015/2366/</w:t>
      </w:r>
      <w:r>
        <w:rPr>
          <w:rFonts w:cs="Times"/>
          <w:i/>
          <w:color w:val="000000"/>
          <w:sz w:val="24"/>
          <w:szCs w:val="24"/>
        </w:rPr>
        <w:t>UE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01FD855E" w14:textId="77777777" w:rsidR="00070006" w:rsidRPr="001B43C7" w:rsidRDefault="00070006" w:rsidP="00070006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75F21CDE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Silvia Tosti </w:t>
      </w:r>
    </w:p>
    <w:p w14:paraId="644A79EB" w14:textId="77777777" w:rsidR="00D52875" w:rsidRPr="00A71A41" w:rsidRDefault="00D0161B" w:rsidP="00D528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risarcibilità del danno non patrimoniale da inadempimento contrattuale</w:t>
      </w:r>
      <w:r w:rsidRPr="00A71A41">
        <w:rPr>
          <w:rFonts w:cs="Garamond"/>
          <w:color w:val="000000"/>
          <w:sz w:val="24"/>
          <w:szCs w:val="24"/>
        </w:rPr>
        <w:t xml:space="preserve">, nota a Corte d’Appello di Cagliari, 12 marzo 2015 n. 182,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II, 2016, pp. 241-254</w:t>
      </w:r>
      <w:r w:rsidR="006A1082" w:rsidRPr="00A71A41">
        <w:rPr>
          <w:rFonts w:cs="Garamond"/>
          <w:color w:val="000000"/>
          <w:sz w:val="24"/>
          <w:szCs w:val="24"/>
        </w:rPr>
        <w:t>;</w:t>
      </w:r>
    </w:p>
    <w:p w14:paraId="1834144D" w14:textId="77777777" w:rsidR="006A1082" w:rsidRPr="00A71A41" w:rsidRDefault="006A1082" w:rsidP="00D528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129 e art. 315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 (a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>, 2017</w:t>
      </w:r>
      <w:r w:rsidR="009E4486" w:rsidRPr="00A71A41">
        <w:rPr>
          <w:rFonts w:cs="Garamond"/>
          <w:color w:val="000000"/>
          <w:sz w:val="24"/>
          <w:szCs w:val="24"/>
        </w:rPr>
        <w:t>, pp. 3087-3092 e 3418-3420</w:t>
      </w:r>
      <w:r w:rsidRPr="00A71A41">
        <w:rPr>
          <w:rFonts w:cs="Garamond"/>
          <w:color w:val="000000"/>
          <w:sz w:val="24"/>
          <w:szCs w:val="24"/>
        </w:rPr>
        <w:t>;</w:t>
      </w:r>
    </w:p>
    <w:p w14:paraId="20FB7EFA" w14:textId="77777777" w:rsidR="001B43C7" w:rsidRPr="001B43C7" w:rsidRDefault="00D0161B" w:rsidP="001B43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septies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octies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noviesTub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923491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Pr="00A71A41">
        <w:rPr>
          <w:rFonts w:cs="Garamond"/>
          <w:color w:val="000000"/>
          <w:sz w:val="24"/>
          <w:szCs w:val="24"/>
        </w:rPr>
        <w:t xml:space="preserve">, in corso di pubblicazione. </w:t>
      </w:r>
    </w:p>
    <w:p w14:paraId="6B430EB7" w14:textId="77777777" w:rsidR="001B43C7" w:rsidRPr="001B43C7" w:rsidRDefault="00923491" w:rsidP="001B43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principio di trasparenza nel giudizio di vessatorietà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1B43C7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 w:rsidRPr="001B43C7">
        <w:rPr>
          <w:rFonts w:cs="Garamond"/>
          <w:color w:val="000000"/>
          <w:sz w:val="24"/>
          <w:szCs w:val="24"/>
        </w:rPr>
        <w:t>.</w:t>
      </w:r>
    </w:p>
    <w:p w14:paraId="069870C7" w14:textId="77777777" w:rsidR="00923491" w:rsidRPr="001B43C7" w:rsidRDefault="00923491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05BA559B" w14:textId="77777777" w:rsidR="00264727" w:rsidRDefault="00264727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212B4428" w14:textId="58746E5A" w:rsidR="00D0161B" w:rsidRPr="00A71A41" w:rsidRDefault="00D0161B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Cinzia Di Miele </w:t>
      </w:r>
    </w:p>
    <w:p w14:paraId="13E27F69" w14:textId="77777777" w:rsidR="00D52875" w:rsidRPr="00A71A41" w:rsidRDefault="00D0161B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ruolo della forma nei contratti di intermediazione finanziaria nel caso di carenza di sottoscrizione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Il Foro Padano</w:t>
      </w:r>
      <w:r w:rsidRPr="00A71A41">
        <w:rPr>
          <w:rFonts w:cs="Garamond"/>
          <w:color w:val="000000"/>
          <w:sz w:val="24"/>
          <w:szCs w:val="24"/>
        </w:rPr>
        <w:t xml:space="preserve">, 2016, </w:t>
      </w:r>
      <w:r w:rsidR="006A1082" w:rsidRPr="00A71A41">
        <w:rPr>
          <w:rFonts w:cs="Garamond"/>
          <w:color w:val="000000"/>
          <w:sz w:val="24"/>
          <w:szCs w:val="24"/>
        </w:rPr>
        <w:t>pp. 204-215</w:t>
      </w:r>
      <w:r w:rsidRPr="00A71A41">
        <w:rPr>
          <w:rFonts w:cs="Garamond"/>
          <w:color w:val="000000"/>
          <w:sz w:val="24"/>
          <w:szCs w:val="24"/>
        </w:rPr>
        <w:t>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33EA08E" w14:textId="77777777" w:rsidR="006A1082" w:rsidRPr="00A71A41" w:rsidRDefault="006A1082" w:rsidP="009E4486">
      <w:pPr>
        <w:pStyle w:val="Paragrafoelenco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it-IT"/>
        </w:rPr>
      </w:pP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recesso nell’offerta fuori sede: abuso o inadeguatezza di un diritto?</w:t>
      </w:r>
      <w:r w:rsidR="003D620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(App. Perugia, 26 ottobre 2015, n. 664), in </w:t>
      </w: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III, 2016, pp. 553-565;</w:t>
      </w:r>
    </w:p>
    <w:p w14:paraId="44A25761" w14:textId="77777777" w:rsidR="00D0161B" w:rsidRPr="00A71A41" w:rsidRDefault="00D0161B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127 e art. 128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 xml:space="preserve">G. Alpa E V. </w:t>
      </w:r>
      <w:proofErr w:type="gramStart"/>
      <w:r w:rsidR="00A71A41" w:rsidRPr="00A71A41">
        <w:rPr>
          <w:rFonts w:cs="Garamond"/>
          <w:smallCaps/>
          <w:color w:val="000000"/>
          <w:sz w:val="24"/>
          <w:szCs w:val="24"/>
        </w:rPr>
        <w:t>Mariconda</w:t>
      </w:r>
      <w:r w:rsidRPr="00A71A41">
        <w:rPr>
          <w:rFonts w:cs="Garamond"/>
          <w:color w:val="000000"/>
          <w:sz w:val="24"/>
          <w:szCs w:val="24"/>
        </w:rPr>
        <w:t>(</w:t>
      </w:r>
      <w:proofErr w:type="gramEnd"/>
      <w:r w:rsidRPr="00A71A41">
        <w:rPr>
          <w:rFonts w:cs="Garamond"/>
          <w:color w:val="000000"/>
          <w:sz w:val="24"/>
          <w:szCs w:val="24"/>
        </w:rPr>
        <w:t xml:space="preserve">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6A1082" w:rsidRPr="00A71A41">
        <w:rPr>
          <w:rFonts w:cs="Garamond"/>
          <w:color w:val="000000"/>
          <w:sz w:val="24"/>
          <w:szCs w:val="24"/>
        </w:rPr>
        <w:t>2017, pp.3076-3087;</w:t>
      </w:r>
    </w:p>
    <w:p w14:paraId="22FEFE61" w14:textId="77777777" w:rsidR="006A1082" w:rsidRPr="00923491" w:rsidRDefault="006A1082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7, 8 e 9,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923491">
        <w:rPr>
          <w:rFonts w:cs="Garamond"/>
          <w:color w:val="000000"/>
          <w:sz w:val="24"/>
          <w:szCs w:val="24"/>
        </w:rPr>
        <w:t>, in corso di pubblicazione;</w:t>
      </w:r>
    </w:p>
    <w:p w14:paraId="2B71966C" w14:textId="77777777" w:rsidR="00923491" w:rsidRPr="00A71A41" w:rsidRDefault="001B43C7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diritto di recesso nella contrattazione finanziaria operata a distanza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3FA47624" w14:textId="42DF4F8E" w:rsidR="00F85261" w:rsidRDefault="00F85261" w:rsidP="00F85261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0BFBE2AA" w14:textId="77777777" w:rsidR="00E47D55" w:rsidRPr="00A71A41" w:rsidRDefault="00E47D55" w:rsidP="00F85261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35512CE" w14:textId="593352B2" w:rsidR="00D0161B" w:rsidRDefault="00D0161B" w:rsidP="006A1082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PUBBLICAZIONI XXXII CICLO</w:t>
      </w:r>
    </w:p>
    <w:p w14:paraId="20F866AF" w14:textId="4F5E038B" w:rsidR="00E47D55" w:rsidRPr="00E47D55" w:rsidRDefault="00E47D55" w:rsidP="006A1082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XXX</w:t>
      </w:r>
      <w:r w:rsidRPr="00E47D55">
        <w:rPr>
          <w:rFonts w:cs="Times"/>
          <w:b/>
          <w:bCs/>
          <w:color w:val="000000"/>
          <w:sz w:val="24"/>
          <w:szCs w:val="24"/>
        </w:rPr>
        <w:t>II</w:t>
      </w:r>
      <w:r w:rsidRPr="00E47D55">
        <w:rPr>
          <w:rFonts w:cs="Times"/>
          <w:b/>
          <w:bCs/>
          <w:color w:val="000000"/>
          <w:sz w:val="24"/>
          <w:szCs w:val="24"/>
        </w:rPr>
        <w:t xml:space="preserve"> CYCLE PUBLICATIONS</w:t>
      </w:r>
    </w:p>
    <w:p w14:paraId="11BF2681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 Pietro Piccioni </w:t>
      </w:r>
    </w:p>
    <w:p w14:paraId="6D34E925" w14:textId="77777777" w:rsidR="006A1082" w:rsidRPr="006A1082" w:rsidRDefault="006A1082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Interessi moratori usurari: profili applicativi problematici di una tesi discutibile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Le Corti</w:t>
      </w:r>
      <w:r w:rsidRPr="00A71A41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2,2016, pp. 321-343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21E118D2" w14:textId="77777777" w:rsidR="006A1082" w:rsidRPr="006A1082" w:rsidRDefault="006A1082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La ragionevole interpretazione dello statuto-regolamento della Lega Nazionale Professionisti Serie A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Rassegna di Diritto ed Economia dello Sport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1-3, 2016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170DE03D" w14:textId="010BF0BF" w:rsidR="002E5BBB" w:rsidRPr="001B43C7" w:rsidRDefault="002E5BBB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giudicato e il diritto di difesa del consumatore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in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3, </w:t>
      </w:r>
      <w:r w:rsidR="001B43C7"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2017, </w:t>
      </w:r>
      <w:r w:rsidR="00842114">
        <w:rPr>
          <w:rFonts w:eastAsia="Times New Roman" w:cs="Times New Roman"/>
          <w:iCs/>
          <w:color w:val="000000"/>
          <w:sz w:val="24"/>
          <w:szCs w:val="24"/>
          <w:lang w:eastAsia="it-IT"/>
        </w:rPr>
        <w:t>2018, pp.527-555.</w:t>
      </w:r>
    </w:p>
    <w:p w14:paraId="0A603145" w14:textId="421F84A9" w:rsidR="001B43C7" w:rsidRPr="00842114" w:rsidRDefault="00126EAD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t>Il diritto europeo del consumatore: un diritto alieno</w:t>
      </w:r>
      <w:r w:rsidR="00070006"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070006">
        <w:rPr>
          <w:rFonts w:cs="Garamond"/>
          <w:color w:val="000000"/>
          <w:sz w:val="24"/>
          <w:szCs w:val="24"/>
        </w:rPr>
        <w:t>.</w:t>
      </w:r>
    </w:p>
    <w:p w14:paraId="4E3126DB" w14:textId="4A2B8B82" w:rsidR="00842114" w:rsidRPr="00842114" w:rsidRDefault="00842114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injusticia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sentimiento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vida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Rivista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Jurisprudencia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Argentina</w:t>
      </w:r>
      <w:r>
        <w:rPr>
          <w:rFonts w:cs="Garamond"/>
          <w:color w:val="000000"/>
          <w:sz w:val="24"/>
          <w:szCs w:val="24"/>
        </w:rPr>
        <w:t>, n.3/2018, 8, 2018, pp16-46.</w:t>
      </w:r>
    </w:p>
    <w:p w14:paraId="0393CAA1" w14:textId="470ADA84" w:rsidR="00842114" w:rsidRPr="00597D93" w:rsidRDefault="00842114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funcionalidad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</w:t>
      </w:r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J. Emil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Jalil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Teor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í</w:t>
      </w:r>
      <w:r w:rsidRPr="00F13108">
        <w:rPr>
          <w:rFonts w:cs="Garamond"/>
          <w:i/>
          <w:iCs/>
          <w:color w:val="000000"/>
          <w:sz w:val="24"/>
          <w:szCs w:val="24"/>
        </w:rPr>
        <w:t>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general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resposnabilidad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.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Pautas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esenciales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interpretacion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moderna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 w:rsidR="00597D93" w:rsidRPr="00F13108">
        <w:rPr>
          <w:rFonts w:cs="Garamond"/>
          <w:i/>
          <w:iCs/>
          <w:color w:val="000000"/>
          <w:sz w:val="24"/>
          <w:szCs w:val="24"/>
        </w:rPr>
        <w:t>nsabilidad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colombiano y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consideraciones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para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futuras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reformas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legislativas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materia de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daños</w:t>
      </w:r>
      <w:proofErr w:type="spellEnd"/>
      <w:r w:rsidR="00597D93">
        <w:rPr>
          <w:rFonts w:cs="Garamond"/>
          <w:color w:val="000000"/>
          <w:sz w:val="24"/>
          <w:szCs w:val="24"/>
        </w:rPr>
        <w:t xml:space="preserve">, Bogotà, 2019, pp. 106-143. </w:t>
      </w:r>
    </w:p>
    <w:p w14:paraId="6FBA7E39" w14:textId="3BD0D194" w:rsidR="00597D93" w:rsidRPr="00F13108" w:rsidRDefault="00597D93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recepci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digo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comercial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ñ</w:t>
      </w:r>
      <w:r w:rsidRPr="00F13108">
        <w:rPr>
          <w:rFonts w:cs="Garamond"/>
          <w:i/>
          <w:iCs/>
          <w:color w:val="000000"/>
          <w:sz w:val="24"/>
          <w:szCs w:val="24"/>
        </w:rPr>
        <w:t>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italiano.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causado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al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sufrido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>,</w:t>
      </w:r>
      <w:r w:rsidR="00F13108">
        <w:rPr>
          <w:rFonts w:cs="Garamond"/>
          <w:color w:val="000000"/>
          <w:sz w:val="24"/>
          <w:szCs w:val="24"/>
        </w:rPr>
        <w:t xml:space="preserve"> in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respon</w:t>
      </w:r>
      <w:r w:rsidR="00547FD8">
        <w:rPr>
          <w:rFonts w:cs="Garamond"/>
          <w:i/>
          <w:iCs/>
          <w:color w:val="000000"/>
          <w:sz w:val="24"/>
          <w:szCs w:val="24"/>
        </w:rPr>
        <w:t>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bilidad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seguros</w:t>
      </w:r>
      <w:proofErr w:type="spellEnd"/>
      <w:r w:rsidR="00F13108">
        <w:rPr>
          <w:rFonts w:cs="Garamond"/>
          <w:color w:val="000000"/>
          <w:sz w:val="24"/>
          <w:szCs w:val="24"/>
        </w:rPr>
        <w:t>, 2019, pp. 3-34.</w:t>
      </w:r>
    </w:p>
    <w:p w14:paraId="0B7E5DA9" w14:textId="38340BB1" w:rsidR="00F13108" w:rsidRPr="00842114" w:rsidRDefault="00F13108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Las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Cláusolas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abusivas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los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contractos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B2C: un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escándalo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mo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integrable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Libro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Ponencias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Congreso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internacional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privado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consumo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>
        <w:rPr>
          <w:rFonts w:cs="Garamond"/>
          <w:i/>
          <w:iCs/>
          <w:color w:val="000000"/>
          <w:sz w:val="24"/>
          <w:szCs w:val="24"/>
        </w:rPr>
        <w:t>ns</w:t>
      </w:r>
      <w:r w:rsidRPr="00F13108">
        <w:rPr>
          <w:rFonts w:cs="Garamond"/>
          <w:i/>
          <w:iCs/>
          <w:color w:val="000000"/>
          <w:sz w:val="24"/>
          <w:szCs w:val="24"/>
        </w:rPr>
        <w:t>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(Granada, </w:t>
      </w:r>
      <w:proofErr w:type="spellStart"/>
      <w:r>
        <w:rPr>
          <w:rFonts w:cs="Garamond"/>
          <w:color w:val="000000"/>
          <w:sz w:val="24"/>
          <w:szCs w:val="24"/>
        </w:rPr>
        <w:t>Deparamento</w:t>
      </w:r>
      <w:proofErr w:type="spellEnd"/>
      <w:r>
        <w:rPr>
          <w:rFonts w:cs="Garamond"/>
          <w:color w:val="000000"/>
          <w:sz w:val="24"/>
          <w:szCs w:val="24"/>
        </w:rPr>
        <w:t xml:space="preserve"> de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color w:val="000000"/>
          <w:sz w:val="24"/>
          <w:szCs w:val="24"/>
        </w:rPr>
        <w:t>Mercantil</w:t>
      </w:r>
      <w:proofErr w:type="spellEnd"/>
      <w:r>
        <w:rPr>
          <w:rFonts w:cs="Garamond"/>
          <w:color w:val="000000"/>
          <w:sz w:val="24"/>
          <w:szCs w:val="24"/>
        </w:rPr>
        <w:t xml:space="preserve"> y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Romano – 13, 14, </w:t>
      </w:r>
      <w:proofErr w:type="spellStart"/>
      <w:r>
        <w:rPr>
          <w:rFonts w:cs="Garamond"/>
          <w:color w:val="000000"/>
          <w:sz w:val="24"/>
          <w:szCs w:val="24"/>
        </w:rPr>
        <w:t>febrero</w:t>
      </w:r>
      <w:proofErr w:type="spellEnd"/>
      <w:r>
        <w:rPr>
          <w:rFonts w:cs="Garamond"/>
          <w:color w:val="000000"/>
          <w:sz w:val="24"/>
          <w:szCs w:val="24"/>
        </w:rPr>
        <w:t xml:space="preserve"> 2019) in corso di pubblicazione.</w:t>
      </w:r>
    </w:p>
    <w:p w14:paraId="03D0478F" w14:textId="77777777" w:rsidR="00842114" w:rsidRPr="00070006" w:rsidRDefault="00842114" w:rsidP="00842114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74EE4E2" w14:textId="77777777" w:rsidR="00D0161B" w:rsidRPr="00A71A41" w:rsidRDefault="00D0161B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Luigi Tamburrino</w:t>
      </w:r>
    </w:p>
    <w:p w14:paraId="18AF6A27" w14:textId="77777777" w:rsidR="00D0161B" w:rsidRPr="00A71A41" w:rsidRDefault="00D0161B" w:rsidP="009E44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svolta e le lacune della pronuncia della Cassazione sulla donazione di bene facente parte di una più ampia comunione: chiarimenti e differenziazioni</w:t>
      </w:r>
      <w:r w:rsidRPr="00A71A41">
        <w:rPr>
          <w:rFonts w:cs="Garamond"/>
          <w:color w:val="000000"/>
          <w:sz w:val="24"/>
          <w:szCs w:val="24"/>
        </w:rPr>
        <w:t xml:space="preserve">, nota a Cassazione del 16 febbraio 2017, in </w:t>
      </w:r>
      <w:r w:rsidR="00F85261" w:rsidRPr="00A71A41">
        <w:rPr>
          <w:rFonts w:cs="Garamond"/>
          <w:i/>
          <w:iCs/>
          <w:color w:val="000000"/>
          <w:sz w:val="24"/>
          <w:szCs w:val="24"/>
        </w:rPr>
        <w:t>Giutiziacivile.</w:t>
      </w:r>
      <w:r w:rsidRPr="00A71A41">
        <w:rPr>
          <w:rFonts w:cs="Garamond"/>
          <w:i/>
          <w:iCs/>
          <w:color w:val="000000"/>
          <w:sz w:val="24"/>
          <w:szCs w:val="24"/>
        </w:rPr>
        <w:t>com.</w:t>
      </w:r>
      <w:r w:rsidR="009E4486" w:rsidRPr="00A71A41">
        <w:rPr>
          <w:rFonts w:cs="Garamond"/>
          <w:color w:val="000000"/>
          <w:sz w:val="24"/>
          <w:szCs w:val="24"/>
        </w:rPr>
        <w:t xml:space="preserve">, 2, </w:t>
      </w:r>
      <w:r w:rsidR="00F85261" w:rsidRPr="00A71A41">
        <w:rPr>
          <w:rFonts w:cs="Garamond"/>
          <w:color w:val="000000"/>
          <w:sz w:val="24"/>
          <w:szCs w:val="24"/>
        </w:rPr>
        <w:t>2017;</w:t>
      </w:r>
    </w:p>
    <w:p w14:paraId="1C88088D" w14:textId="77777777" w:rsidR="002E22E3" w:rsidRPr="00665B53" w:rsidRDefault="00D0161B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sui limiti di ammissibilità della procedura di sovraindebitamento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="00F85261" w:rsidRPr="00A71A41">
        <w:rPr>
          <w:rFonts w:cs="Garamond"/>
          <w:color w:val="000000"/>
          <w:sz w:val="24"/>
          <w:szCs w:val="24"/>
        </w:rPr>
        <w:t xml:space="preserve">, </w:t>
      </w:r>
      <w:r w:rsidR="0034113F" w:rsidRPr="00A71A41">
        <w:rPr>
          <w:rFonts w:cs="Garamond"/>
          <w:color w:val="000000"/>
          <w:sz w:val="24"/>
          <w:szCs w:val="24"/>
        </w:rPr>
        <w:t>2, 2016, p. 369</w:t>
      </w:r>
      <w:r w:rsidR="00070006">
        <w:rPr>
          <w:rFonts w:cs="Garamond"/>
          <w:color w:val="000000"/>
          <w:sz w:val="24"/>
          <w:szCs w:val="24"/>
        </w:rPr>
        <w:t>;</w:t>
      </w:r>
    </w:p>
    <w:p w14:paraId="29BCCD69" w14:textId="77777777" w:rsidR="00665B53" w:rsidRPr="002E22E3" w:rsidRDefault="00665B53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 xml:space="preserve">Riflessioni sui rapporti tra il processo esecutivo e la procedura di sovraindebitamento, </w:t>
      </w:r>
      <w:r>
        <w:rPr>
          <w:rFonts w:cs="Garamond"/>
          <w:iCs/>
          <w:color w:val="000000"/>
          <w:sz w:val="24"/>
          <w:szCs w:val="24"/>
        </w:rPr>
        <w:t xml:space="preserve">in </w:t>
      </w:r>
      <w:r>
        <w:rPr>
          <w:rFonts w:cs="Garamond"/>
          <w:i/>
          <w:iCs/>
          <w:color w:val="000000"/>
          <w:sz w:val="24"/>
          <w:szCs w:val="24"/>
        </w:rPr>
        <w:t>Le Corti Umbre, 3, 2017, p. 581 ss.,</w:t>
      </w:r>
    </w:p>
    <w:p w14:paraId="4B20F3DC" w14:textId="77777777" w:rsidR="00A71A41" w:rsidRPr="002E22E3" w:rsidRDefault="00070006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Impatto della disciplina del sovraindebitamento sul diritto comune. Tutela del consumatore tra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meritevolezza</w:t>
      </w:r>
      <w:proofErr w:type="spellEnd"/>
      <w:r w:rsidR="002E22E3" w:rsidRPr="002E22E3">
        <w:rPr>
          <w:rFonts w:cs="Times"/>
          <w:i/>
          <w:color w:val="000000"/>
          <w:sz w:val="24"/>
          <w:szCs w:val="24"/>
        </w:rPr>
        <w:t xml:space="preserve"> </w:t>
      </w:r>
      <w:r w:rsidRPr="002E22E3">
        <w:rPr>
          <w:rFonts w:cs="Times"/>
          <w:i/>
          <w:color w:val="000000"/>
          <w:sz w:val="24"/>
          <w:szCs w:val="24"/>
        </w:rPr>
        <w:t>nell’indebitamento e merito creditizio, Italia e Spagna a confronto</w:t>
      </w:r>
      <w:r w:rsidR="002E22E3"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2E22E3" w:rsidRPr="002E22E3">
        <w:rPr>
          <w:rFonts w:cs="Garamond"/>
          <w:color w:val="000000"/>
          <w:sz w:val="24"/>
          <w:szCs w:val="24"/>
        </w:rPr>
        <w:t>.</w:t>
      </w:r>
    </w:p>
    <w:p w14:paraId="4A381A09" w14:textId="77777777" w:rsidR="002E22E3" w:rsidRDefault="002E22E3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6E450DFC" w14:textId="77777777" w:rsidR="00E47D55" w:rsidRDefault="00E47D55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654BA050" w14:textId="64BAD332" w:rsidR="002E22E3" w:rsidRPr="00A71A41" w:rsidRDefault="002E22E3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Dott.</w:t>
      </w:r>
      <w:r>
        <w:rPr>
          <w:rFonts w:cs="Garamond"/>
          <w:b/>
          <w:bCs/>
          <w:color w:val="000000"/>
          <w:sz w:val="24"/>
          <w:szCs w:val="24"/>
        </w:rPr>
        <w:t>ssa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</w:t>
      </w:r>
      <w:r w:rsidRPr="002E22E3">
        <w:rPr>
          <w:rFonts w:cs="Garamond"/>
          <w:b/>
          <w:bCs/>
          <w:color w:val="000000"/>
          <w:sz w:val="24"/>
          <w:szCs w:val="24"/>
        </w:rPr>
        <w:t xml:space="preserve">Irene </w:t>
      </w:r>
      <w:proofErr w:type="spellStart"/>
      <w:r w:rsidRPr="002E22E3">
        <w:rPr>
          <w:rFonts w:cs="Garamond"/>
          <w:b/>
          <w:bCs/>
          <w:color w:val="000000"/>
          <w:sz w:val="24"/>
          <w:szCs w:val="24"/>
        </w:rPr>
        <w:t>Bruzon</w:t>
      </w:r>
      <w:proofErr w:type="spellEnd"/>
      <w:r w:rsidRPr="002E22E3">
        <w:rPr>
          <w:rFonts w:cs="Garamond"/>
          <w:b/>
          <w:bCs/>
          <w:color w:val="000000"/>
          <w:sz w:val="24"/>
          <w:szCs w:val="24"/>
        </w:rPr>
        <w:t xml:space="preserve"> Cid</w:t>
      </w:r>
    </w:p>
    <w:p w14:paraId="2151FD1F" w14:textId="77777777" w:rsidR="001558BD" w:rsidRDefault="002E22E3" w:rsidP="001558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La tutela del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consumidor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crédito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inmobiliario</w:t>
      </w:r>
      <w:proofErr w:type="spellEnd"/>
      <w:r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558BD">
        <w:rPr>
          <w:rFonts w:cs="Garamond"/>
          <w:color w:val="000000"/>
          <w:sz w:val="24"/>
          <w:szCs w:val="24"/>
        </w:rPr>
        <w:t xml:space="preserve">; </w:t>
      </w:r>
    </w:p>
    <w:p w14:paraId="616862DB" w14:textId="77777777" w:rsidR="001558BD" w:rsidRPr="001558BD" w:rsidRDefault="001558BD" w:rsidP="001558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La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educación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financiera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como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instrumento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de tutela</w:t>
      </w:r>
      <w:r>
        <w:rPr>
          <w:rFonts w:cs="Garamond"/>
          <w:color w:val="000000"/>
          <w:sz w:val="24"/>
          <w:szCs w:val="24"/>
        </w:rPr>
        <w:t xml:space="preserve">, in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Actualidad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Juridica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Iberoamericana</w:t>
      </w:r>
      <w:r>
        <w:rPr>
          <w:rFonts w:cs="Garamond"/>
          <w:i/>
          <w:color w:val="000000"/>
          <w:sz w:val="24"/>
          <w:szCs w:val="24"/>
        </w:rPr>
        <w:t>,</w:t>
      </w:r>
      <w:r>
        <w:rPr>
          <w:rFonts w:cs="Garamond"/>
          <w:color w:val="000000"/>
          <w:sz w:val="24"/>
          <w:szCs w:val="24"/>
        </w:rPr>
        <w:t xml:space="preserve"> 2019,</w:t>
      </w:r>
      <w:r w:rsidRPr="001558BD">
        <w:rPr>
          <w:rFonts w:cs="Garamond"/>
          <w:color w:val="000000"/>
          <w:sz w:val="24"/>
          <w:szCs w:val="24"/>
        </w:rPr>
        <w:t xml:space="preserve"> in corso di pubblicazione</w:t>
      </w:r>
      <w:r>
        <w:rPr>
          <w:rFonts w:cs="Garamond"/>
          <w:color w:val="000000"/>
          <w:sz w:val="24"/>
          <w:szCs w:val="24"/>
        </w:rPr>
        <w:t>;</w:t>
      </w:r>
    </w:p>
    <w:p w14:paraId="7CA5482B" w14:textId="77777777" w:rsidR="001558BD" w:rsidRPr="001558BD" w:rsidRDefault="001558BD" w:rsidP="001558BD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color w:val="000000"/>
          <w:sz w:val="24"/>
          <w:szCs w:val="24"/>
          <w:lang w:val="es-ES"/>
        </w:rPr>
      </w:pPr>
      <w:r w:rsidRPr="001558BD">
        <w:rPr>
          <w:rFonts w:cs="Garamond"/>
          <w:i/>
          <w:color w:val="000000"/>
          <w:sz w:val="24"/>
          <w:szCs w:val="24"/>
          <w:lang w:val="es-ES"/>
        </w:rPr>
        <w:t>La tutela del cliente bancario: una cuestión de información</w:t>
      </w:r>
      <w:r>
        <w:rPr>
          <w:rFonts w:cs="Garamond"/>
          <w:i/>
          <w:color w:val="000000"/>
          <w:sz w:val="24"/>
          <w:szCs w:val="24"/>
          <w:lang w:val="es-ES"/>
        </w:rPr>
        <w:t xml:space="preserve">, </w:t>
      </w:r>
      <w:r>
        <w:rPr>
          <w:rFonts w:cs="Garamond"/>
          <w:color w:val="000000"/>
          <w:sz w:val="24"/>
          <w:szCs w:val="24"/>
          <w:lang w:val="es-ES"/>
        </w:rPr>
        <w:t>in</w:t>
      </w:r>
      <w:r w:rsidRPr="001558BD">
        <w:rPr>
          <w:rFonts w:cs="Garamond"/>
          <w:color w:val="000000"/>
          <w:sz w:val="24"/>
          <w:szCs w:val="24"/>
          <w:lang w:val="es-ES"/>
        </w:rPr>
        <w:t xml:space="preserve"> </w:t>
      </w:r>
      <w:r>
        <w:rPr>
          <w:rFonts w:cs="Garamond"/>
          <w:color w:val="000000"/>
          <w:sz w:val="24"/>
          <w:szCs w:val="24"/>
          <w:lang w:val="es-ES"/>
        </w:rPr>
        <w:t xml:space="preserve">A.A.V.V., </w:t>
      </w:r>
      <w:r w:rsidRPr="001558BD">
        <w:rPr>
          <w:rFonts w:cs="Garamond"/>
          <w:i/>
          <w:color w:val="000000"/>
          <w:sz w:val="24"/>
          <w:szCs w:val="24"/>
          <w:lang w:val="es-ES"/>
        </w:rPr>
        <w:t>Obra colectiva, Reflexiones sobre Derecho Privado Patrimonial</w:t>
      </w:r>
      <w:r w:rsidRPr="001558BD">
        <w:rPr>
          <w:rFonts w:cs="Garamond"/>
          <w:color w:val="000000"/>
          <w:sz w:val="24"/>
          <w:szCs w:val="24"/>
          <w:lang w:val="es-ES"/>
        </w:rPr>
        <w:t>, vol.</w:t>
      </w:r>
      <w:r>
        <w:rPr>
          <w:rFonts w:cs="Garamond"/>
          <w:color w:val="000000"/>
          <w:sz w:val="24"/>
          <w:szCs w:val="24"/>
          <w:lang w:val="es-ES"/>
        </w:rPr>
        <w:t xml:space="preserve"> </w:t>
      </w:r>
      <w:r w:rsidRPr="001558BD">
        <w:rPr>
          <w:rFonts w:cs="Garamond"/>
          <w:color w:val="000000"/>
          <w:sz w:val="24"/>
          <w:szCs w:val="24"/>
          <w:lang w:val="es-ES"/>
        </w:rPr>
        <w:t>7</w:t>
      </w:r>
      <w:r>
        <w:rPr>
          <w:rFonts w:cs="Garamond"/>
          <w:color w:val="000000"/>
          <w:sz w:val="24"/>
          <w:szCs w:val="24"/>
          <w:lang w:val="es-ES"/>
        </w:rPr>
        <w:t xml:space="preserve">, p. </w:t>
      </w:r>
      <w:r w:rsidRPr="001558BD">
        <w:rPr>
          <w:rFonts w:cs="Garamond"/>
          <w:color w:val="000000"/>
          <w:sz w:val="24"/>
          <w:szCs w:val="24"/>
          <w:lang w:val="es-ES"/>
        </w:rPr>
        <w:t>73</w:t>
      </w:r>
      <w:r>
        <w:rPr>
          <w:rFonts w:cs="Garamond"/>
          <w:color w:val="000000"/>
          <w:sz w:val="24"/>
          <w:szCs w:val="24"/>
          <w:lang w:val="es-ES"/>
        </w:rPr>
        <w:t>;</w:t>
      </w:r>
    </w:p>
    <w:p w14:paraId="5A140650" w14:textId="4E8C724E" w:rsidR="00547FD8" w:rsidRPr="00E47D55" w:rsidRDefault="001558BD" w:rsidP="00E47D5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Interessi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ultralegali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ed il requisito della forma scritta: il problema della determinazione per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relationem</w:t>
      </w:r>
      <w:proofErr w:type="spellEnd"/>
      <w:r w:rsidRPr="001558BD">
        <w:rPr>
          <w:rFonts w:cs="Garamond"/>
          <w:color w:val="000000"/>
          <w:sz w:val="24"/>
          <w:szCs w:val="24"/>
        </w:rPr>
        <w:t xml:space="preserve">, in </w:t>
      </w:r>
      <w:r w:rsidRPr="001558BD">
        <w:rPr>
          <w:rFonts w:cs="Garamond"/>
          <w:i/>
          <w:color w:val="000000"/>
          <w:sz w:val="24"/>
          <w:szCs w:val="24"/>
        </w:rPr>
        <w:t>Le Corte Umbre,</w:t>
      </w:r>
      <w:r w:rsidRPr="001558BD">
        <w:rPr>
          <w:rFonts w:cs="Garamond"/>
          <w:color w:val="000000"/>
          <w:sz w:val="24"/>
          <w:szCs w:val="24"/>
        </w:rPr>
        <w:t xml:space="preserve"> 2019, in corso di pubblicazione</w:t>
      </w:r>
      <w:r>
        <w:rPr>
          <w:rFonts w:cs="Garamond"/>
          <w:color w:val="000000"/>
          <w:sz w:val="24"/>
          <w:szCs w:val="24"/>
        </w:rPr>
        <w:t>.</w:t>
      </w:r>
    </w:p>
    <w:p w14:paraId="22811CAA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3701924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83FCDB3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2E12F36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8BBBE0A" w14:textId="02B82AB6" w:rsidR="0034113F" w:rsidRDefault="0034113F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XXXI</w:t>
      </w:r>
      <w:r w:rsidR="007D4F58">
        <w:rPr>
          <w:rFonts w:cs="Garamond"/>
          <w:b/>
          <w:bCs/>
          <w:color w:val="000000"/>
          <w:sz w:val="24"/>
          <w:szCs w:val="24"/>
        </w:rPr>
        <w:t>I</w:t>
      </w:r>
      <w:r w:rsidRPr="00A71A41">
        <w:rPr>
          <w:rFonts w:cs="Garamond"/>
          <w:b/>
          <w:bCs/>
          <w:color w:val="000000"/>
          <w:sz w:val="24"/>
          <w:szCs w:val="24"/>
        </w:rPr>
        <w:t>I CICLO</w:t>
      </w:r>
    </w:p>
    <w:p w14:paraId="6E4B457B" w14:textId="586E28A0" w:rsidR="00E47D55" w:rsidRPr="00E47D55" w:rsidRDefault="00E47D55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XXX</w:t>
      </w:r>
      <w:r w:rsidRPr="00E47D55">
        <w:rPr>
          <w:rFonts w:cs="Times"/>
          <w:b/>
          <w:bCs/>
          <w:color w:val="000000"/>
          <w:sz w:val="24"/>
          <w:szCs w:val="24"/>
        </w:rPr>
        <w:t>III</w:t>
      </w:r>
      <w:r w:rsidRPr="00E47D55">
        <w:rPr>
          <w:rFonts w:cs="Times"/>
          <w:b/>
          <w:bCs/>
          <w:color w:val="000000"/>
          <w:sz w:val="24"/>
          <w:szCs w:val="24"/>
        </w:rPr>
        <w:t xml:space="preserve"> CYCLE PUBLICATIONS</w:t>
      </w:r>
    </w:p>
    <w:p w14:paraId="35766B76" w14:textId="77777777" w:rsidR="0034113F" w:rsidRPr="00A71A41" w:rsidRDefault="0034113F" w:rsidP="0034113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>Dott. Francesco Urbinati</w:t>
      </w:r>
    </w:p>
    <w:p w14:paraId="1B0561F0" w14:textId="77777777" w:rsidR="00A71A41" w:rsidRDefault="00A71A41" w:rsidP="00CF46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L’epilogo di “Taricco bis”: la Corte di Giustizia cede all’ordinanza della Consulta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>
        <w:rPr>
          <w:rFonts w:cs="Times"/>
          <w:sz w:val="24"/>
          <w:szCs w:val="24"/>
        </w:rPr>
        <w:t>, 3, 2017;</w:t>
      </w:r>
    </w:p>
    <w:p w14:paraId="388B0662" w14:textId="77777777" w:rsidR="00A71A41" w:rsidRDefault="00A71A41" w:rsidP="00F8755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partecipazione dell’ente al procedimento, tra rigore formalistico e limitazioni al diritto di difesa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4880C168" w14:textId="77777777" w:rsidR="00A71A41" w:rsidRDefault="00A71A41" w:rsidP="00A629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codificazione della fattispecie di tortura: profili processuali</w:t>
      </w:r>
      <w:r w:rsidR="0061624C">
        <w:rPr>
          <w:rFonts w:cs="Times"/>
          <w:sz w:val="24"/>
          <w:szCs w:val="24"/>
        </w:rPr>
        <w:t>, C. Fiorio, F. Urbinati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0E888A87" w14:textId="77777777" w:rsidR="00A71A41" w:rsidRDefault="00A71A41" w:rsidP="00A71A4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Danni punitivi e limiti all’ammissibilità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>, 2, 2017;</w:t>
      </w:r>
    </w:p>
    <w:p w14:paraId="2737050E" w14:textId="77777777" w:rsidR="0034113F" w:rsidRDefault="00A71A41" w:rsidP="00A71A4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Presupposti dell’annullamento senza rinvio della Cassazione: tra finalità deflative e intromissioni di merito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Giurisprudenza Penale online</w:t>
      </w:r>
      <w:r w:rsidRPr="00A71A41">
        <w:rPr>
          <w:rFonts w:cs="Times"/>
          <w:sz w:val="24"/>
          <w:szCs w:val="24"/>
        </w:rPr>
        <w:t xml:space="preserve">, </w:t>
      </w:r>
      <w:r w:rsidR="00070006">
        <w:rPr>
          <w:rFonts w:cs="Times"/>
          <w:sz w:val="24"/>
          <w:szCs w:val="24"/>
        </w:rPr>
        <w:t>3, 2018;</w:t>
      </w:r>
    </w:p>
    <w:p w14:paraId="04C9C3C7" w14:textId="77777777" w:rsidR="00B45FD9" w:rsidRDefault="00B45FD9" w:rsidP="00B45F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B45FD9">
        <w:rPr>
          <w:rFonts w:cs="Times"/>
          <w:i/>
          <w:sz w:val="24"/>
          <w:szCs w:val="24"/>
        </w:rPr>
        <w:t>Limiti processuali alla revoca del consenso al patteggiamento</w:t>
      </w:r>
      <w:r w:rsidRPr="00B45FD9">
        <w:rPr>
          <w:rFonts w:cs="Times"/>
          <w:sz w:val="24"/>
          <w:szCs w:val="24"/>
        </w:rPr>
        <w:t xml:space="preserve">, in </w:t>
      </w:r>
      <w:r w:rsidRPr="00B45FD9">
        <w:rPr>
          <w:rFonts w:cs="Times"/>
          <w:i/>
          <w:sz w:val="24"/>
          <w:szCs w:val="24"/>
        </w:rPr>
        <w:t>Diritto penale e processo</w:t>
      </w:r>
      <w:r w:rsidR="00923491">
        <w:rPr>
          <w:rFonts w:cs="Times"/>
          <w:sz w:val="24"/>
          <w:szCs w:val="24"/>
        </w:rPr>
        <w:t>, 7, 2018;</w:t>
      </w:r>
    </w:p>
    <w:p w14:paraId="4B686D07" w14:textId="77777777" w:rsidR="00070006" w:rsidRDefault="00923491" w:rsidP="000700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923491">
        <w:rPr>
          <w:rFonts w:cs="Times"/>
          <w:i/>
          <w:sz w:val="24"/>
          <w:szCs w:val="24"/>
        </w:rPr>
        <w:t>Inadempimenti reciproci e forma del mutuo dissenso del contratto preliminare di vendita</w:t>
      </w:r>
      <w:r w:rsidRPr="00923491">
        <w:rPr>
          <w:rFonts w:cs="Times"/>
          <w:sz w:val="24"/>
          <w:szCs w:val="24"/>
        </w:rPr>
        <w:t xml:space="preserve">, in </w:t>
      </w:r>
      <w:r w:rsidRPr="00923491">
        <w:rPr>
          <w:rFonts w:cs="Times"/>
          <w:i/>
          <w:sz w:val="24"/>
          <w:szCs w:val="24"/>
        </w:rPr>
        <w:t>Rivista giuridica sarda</w:t>
      </w:r>
      <w:r w:rsidRPr="00923491">
        <w:rPr>
          <w:rFonts w:cs="Times"/>
          <w:sz w:val="24"/>
          <w:szCs w:val="24"/>
        </w:rPr>
        <w:t xml:space="preserve">, </w:t>
      </w:r>
      <w:r w:rsidR="001B43C7">
        <w:rPr>
          <w:rFonts w:cs="Times"/>
          <w:sz w:val="24"/>
          <w:szCs w:val="24"/>
        </w:rPr>
        <w:t>2, 2018;</w:t>
      </w:r>
    </w:p>
    <w:p w14:paraId="002B872E" w14:textId="77777777" w:rsidR="001B43C7" w:rsidRPr="007517D1" w:rsidRDefault="00070006" w:rsidP="000700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Danni punitivi e limiti all’ammissibilità</w:t>
      </w:r>
      <w:r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2018;</w:t>
      </w:r>
    </w:p>
    <w:p w14:paraId="20ED96D3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Sull’abnormità della restituzione degli atti al p.m. per valutare la particolare tenuità</w:t>
      </w:r>
      <w:r w:rsidRPr="007517D1">
        <w:rPr>
          <w:rFonts w:cs="Times"/>
          <w:sz w:val="24"/>
          <w:szCs w:val="24"/>
        </w:rPr>
        <w:t>, 8/9</w:t>
      </w:r>
      <w:r>
        <w:rPr>
          <w:rFonts w:cs="Times"/>
          <w:sz w:val="24"/>
          <w:szCs w:val="24"/>
        </w:rPr>
        <w:t xml:space="preserve">, </w:t>
      </w:r>
      <w:r w:rsidRPr="007517D1">
        <w:rPr>
          <w:rFonts w:cs="Times"/>
          <w:sz w:val="24"/>
          <w:szCs w:val="24"/>
        </w:rPr>
        <w:t xml:space="preserve">in </w:t>
      </w:r>
      <w:r w:rsidRPr="007517D1">
        <w:rPr>
          <w:rFonts w:cs="Times"/>
          <w:i/>
          <w:sz w:val="24"/>
          <w:szCs w:val="24"/>
        </w:rPr>
        <w:t>Giurisprudenza italiana</w:t>
      </w:r>
      <w:r w:rsidRPr="007517D1">
        <w:rPr>
          <w:rFonts w:cs="Times"/>
          <w:sz w:val="24"/>
          <w:szCs w:val="24"/>
        </w:rPr>
        <w:t>, 2018</w:t>
      </w:r>
      <w:r w:rsidR="000C605C">
        <w:rPr>
          <w:rFonts w:cs="Times"/>
          <w:sz w:val="24"/>
          <w:szCs w:val="24"/>
        </w:rPr>
        <w:t>;</w:t>
      </w:r>
    </w:p>
    <w:p w14:paraId="55BFEF73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 xml:space="preserve">L’“imperativo costituzionale” della rieducazione: un necessario intervento della Corte costituzionale sulla irragionevolezza degli sbarramenti ex art. 58-quater, comma 4, </w:t>
      </w:r>
      <w:proofErr w:type="spellStart"/>
      <w:r w:rsidRPr="007517D1">
        <w:rPr>
          <w:rFonts w:cs="Times"/>
          <w:i/>
          <w:sz w:val="24"/>
          <w:szCs w:val="24"/>
        </w:rPr>
        <w:t>ord</w:t>
      </w:r>
      <w:proofErr w:type="spellEnd"/>
      <w:r w:rsidRPr="007517D1">
        <w:rPr>
          <w:rFonts w:cs="Times"/>
          <w:i/>
          <w:sz w:val="24"/>
          <w:szCs w:val="24"/>
        </w:rPr>
        <w:t xml:space="preserve">. </w:t>
      </w:r>
      <w:proofErr w:type="spellStart"/>
      <w:r w:rsidRPr="007517D1">
        <w:rPr>
          <w:rFonts w:cs="Times"/>
          <w:i/>
          <w:sz w:val="24"/>
          <w:szCs w:val="24"/>
        </w:rPr>
        <w:t>penit</w:t>
      </w:r>
      <w:proofErr w:type="spellEnd"/>
      <w:r w:rsidRPr="007517D1">
        <w:rPr>
          <w:rFonts w:cs="Times"/>
          <w:i/>
          <w:sz w:val="24"/>
          <w:szCs w:val="24"/>
        </w:rPr>
        <w:t>.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Processo Penale e Giustizia</w:t>
      </w:r>
      <w:r w:rsidRPr="007517D1">
        <w:rPr>
          <w:rFonts w:cs="Times"/>
          <w:sz w:val="24"/>
          <w:szCs w:val="24"/>
        </w:rPr>
        <w:t>,</w:t>
      </w:r>
      <w:r>
        <w:rPr>
          <w:rFonts w:cs="Times"/>
          <w:sz w:val="24"/>
          <w:szCs w:val="24"/>
        </w:rPr>
        <w:t xml:space="preserve"> 6,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3F51EBFD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t>Responsabilità medica e profili applicativi intertemporali della cd. “Legge Gelli”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Il Foro Padano</w:t>
      </w:r>
      <w:r w:rsidRPr="007517D1">
        <w:rPr>
          <w:rFonts w:cs="Times"/>
          <w:sz w:val="24"/>
          <w:szCs w:val="24"/>
        </w:rPr>
        <w:t>,</w:t>
      </w:r>
      <w:r w:rsidR="000C605C">
        <w:rPr>
          <w:rFonts w:cs="Times"/>
          <w:sz w:val="24"/>
          <w:szCs w:val="24"/>
        </w:rPr>
        <w:t xml:space="preserve"> 3,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44D72140" w14:textId="72B0DE30" w:rsid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lastRenderedPageBreak/>
        <w:t xml:space="preserve">Considerazioni in tema di sequestro preventivo finalizzato alla </w:t>
      </w:r>
      <w:r w:rsidR="000C605C" w:rsidRPr="000C605C">
        <w:rPr>
          <w:rFonts w:cs="Times"/>
          <w:i/>
          <w:sz w:val="24"/>
          <w:szCs w:val="24"/>
        </w:rPr>
        <w:t>“</w:t>
      </w:r>
      <w:r w:rsidRPr="000C605C">
        <w:rPr>
          <w:rFonts w:cs="Times"/>
          <w:i/>
          <w:sz w:val="24"/>
          <w:szCs w:val="24"/>
        </w:rPr>
        <w:t>confisca allargata</w:t>
      </w:r>
      <w:r w:rsidR="000C605C" w:rsidRPr="000C605C">
        <w:rPr>
          <w:rFonts w:cs="Times"/>
          <w:i/>
          <w:sz w:val="24"/>
          <w:szCs w:val="24"/>
        </w:rPr>
        <w:t>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Le Corti Umbre</w:t>
      </w:r>
      <w:r w:rsidRPr="007517D1">
        <w:rPr>
          <w:rFonts w:cs="Times"/>
          <w:sz w:val="24"/>
          <w:szCs w:val="24"/>
        </w:rPr>
        <w:t>, 2018, 2, in corso di pubblicazione.</w:t>
      </w:r>
    </w:p>
    <w:p w14:paraId="0648BF4B" w14:textId="2DA4300E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Garanti territoriali e colloqui in regime differenziato: logica del sospetto o tutela dei diritti</w:t>
      </w:r>
      <w:r>
        <w:rPr>
          <w:rFonts w:cs="Times"/>
          <w:sz w:val="24"/>
          <w:szCs w:val="24"/>
        </w:rPr>
        <w:t xml:space="preserve">?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 xml:space="preserve">, 2019, 4. </w:t>
      </w:r>
    </w:p>
    <w:p w14:paraId="71F7AA6A" w14:textId="67096532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Ultima tappa della saga colloqui in regime differenziato: nessuna limitazione ai garanti locali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Archivio penale</w:t>
      </w:r>
      <w:r>
        <w:rPr>
          <w:rFonts w:cs="Times"/>
          <w:sz w:val="24"/>
          <w:szCs w:val="24"/>
        </w:rPr>
        <w:t>, 2019, 2 (Rivista web)</w:t>
      </w:r>
    </w:p>
    <w:p w14:paraId="737C79CB" w14:textId="1B132F51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L’eterno ritorno della ricerca della verità e i poteri probatori d’ufficio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>, 2019, 8.</w:t>
      </w:r>
    </w:p>
    <w:p w14:paraId="4A0AF584" w14:textId="222D7C59" w:rsidR="00563C28" w:rsidRPr="00070006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Decreto penale, estinzione del reato e presunzione di non colpevolezza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Giurisprudenza italiana</w:t>
      </w:r>
      <w:r>
        <w:rPr>
          <w:rFonts w:cs="Times"/>
          <w:sz w:val="24"/>
          <w:szCs w:val="24"/>
        </w:rPr>
        <w:t xml:space="preserve">, 2019, 8/9. </w:t>
      </w:r>
    </w:p>
    <w:p w14:paraId="0C237403" w14:textId="77777777" w:rsidR="0034113F" w:rsidRPr="00A71A41" w:rsidRDefault="0034113F" w:rsidP="0034113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 xml:space="preserve">Dott. Jacopo </w:t>
      </w:r>
      <w:proofErr w:type="spellStart"/>
      <w:r w:rsidRPr="00A71A41">
        <w:rPr>
          <w:rFonts w:cs="Times"/>
          <w:b/>
          <w:sz w:val="24"/>
          <w:szCs w:val="24"/>
        </w:rPr>
        <w:t>Alcini</w:t>
      </w:r>
      <w:proofErr w:type="spellEnd"/>
    </w:p>
    <w:p w14:paraId="47264FCF" w14:textId="77777777" w:rsidR="0034113F" w:rsidRDefault="0034113F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Percorsi in materia di clausole urbanistiche e contratti collegati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 w:rsidRPr="00A71A41">
        <w:rPr>
          <w:rFonts w:cs="Times"/>
          <w:sz w:val="24"/>
          <w:szCs w:val="24"/>
        </w:rPr>
        <w:t xml:space="preserve">, </w:t>
      </w:r>
      <w:r w:rsidR="00B45FD9">
        <w:rPr>
          <w:rFonts w:cs="Times"/>
          <w:sz w:val="24"/>
          <w:szCs w:val="24"/>
        </w:rPr>
        <w:t>2, 2017</w:t>
      </w:r>
      <w:r w:rsidR="00070006">
        <w:rPr>
          <w:rFonts w:cs="Times"/>
          <w:sz w:val="24"/>
          <w:szCs w:val="24"/>
        </w:rPr>
        <w:t>;</w:t>
      </w:r>
    </w:p>
    <w:p w14:paraId="23D0A54C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famiglia come istituzione e posizione dei figli nel diritto italiano dopo la recente riforma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Diritto e processo</w:t>
      </w:r>
      <w:r>
        <w:rPr>
          <w:rFonts w:cs="Times"/>
          <w:sz w:val="24"/>
          <w:szCs w:val="24"/>
        </w:rPr>
        <w:t>,</w:t>
      </w:r>
      <w:r w:rsidRPr="00070006">
        <w:rPr>
          <w:rFonts w:cs="Times"/>
          <w:sz w:val="24"/>
          <w:szCs w:val="24"/>
        </w:rPr>
        <w:t xml:space="preserve"> 2017</w:t>
      </w:r>
      <w:r>
        <w:rPr>
          <w:rFonts w:cs="Times"/>
          <w:sz w:val="24"/>
          <w:szCs w:val="24"/>
        </w:rPr>
        <w:t>;</w:t>
      </w:r>
    </w:p>
    <w:p w14:paraId="16621A12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Mondi paralleli, bitcoin e reati virtuali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La giustizia penale</w:t>
      </w:r>
      <w:r>
        <w:rPr>
          <w:rFonts w:cs="Times"/>
          <w:sz w:val="24"/>
          <w:szCs w:val="24"/>
        </w:rPr>
        <w:t>, 7, 2018;</w:t>
      </w:r>
    </w:p>
    <w:p w14:paraId="4C8EE6A0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Garanzie personali tipiche ed atipiche: ipotesi e prospettive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Temi romana</w:t>
      </w:r>
      <w:r>
        <w:rPr>
          <w:rFonts w:cs="Times"/>
          <w:sz w:val="24"/>
          <w:szCs w:val="24"/>
        </w:rPr>
        <w:t>, 4, 2018;</w:t>
      </w:r>
    </w:p>
    <w:p w14:paraId="213269E9" w14:textId="77777777" w:rsidR="007517D1" w:rsidRDefault="00070006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via latina alla riforma della legittima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 xml:space="preserve">, 1, </w:t>
      </w:r>
      <w:r w:rsidRPr="00070006">
        <w:rPr>
          <w:rFonts w:cs="Times"/>
          <w:sz w:val="24"/>
          <w:szCs w:val="24"/>
        </w:rPr>
        <w:t>2018</w:t>
      </w:r>
      <w:r>
        <w:rPr>
          <w:rFonts w:cs="Times"/>
          <w:sz w:val="24"/>
          <w:szCs w:val="24"/>
        </w:rPr>
        <w:t>;</w:t>
      </w:r>
    </w:p>
    <w:p w14:paraId="2615C4B2" w14:textId="77777777" w:rsidR="00070006" w:rsidRPr="007517D1" w:rsidRDefault="00070006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 xml:space="preserve">La </w:t>
      </w:r>
      <w:r w:rsidR="007517D1" w:rsidRPr="007517D1">
        <w:rPr>
          <w:rFonts w:cs="Times"/>
          <w:i/>
          <w:sz w:val="24"/>
          <w:szCs w:val="24"/>
        </w:rPr>
        <w:t>riforma della legittima in Italia e Spagna</w:t>
      </w:r>
      <w:r w:rsidRPr="007517D1">
        <w:rPr>
          <w:rFonts w:cs="Times"/>
          <w:sz w:val="24"/>
          <w:szCs w:val="24"/>
        </w:rPr>
        <w:t xml:space="preserve">, </w:t>
      </w:r>
      <w:r w:rsidR="007517D1" w:rsidRPr="007517D1">
        <w:rPr>
          <w:rFonts w:cs="Times"/>
          <w:color w:val="000000"/>
          <w:sz w:val="24"/>
          <w:szCs w:val="24"/>
        </w:rPr>
        <w:t xml:space="preserve">in E. </w:t>
      </w:r>
      <w:r w:rsidR="007517D1" w:rsidRP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7517D1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 w:rsidRPr="007517D1">
        <w:rPr>
          <w:rFonts w:cs="Garamond"/>
          <w:color w:val="000000"/>
          <w:sz w:val="24"/>
          <w:szCs w:val="24"/>
        </w:rPr>
        <w:t>Salamanca, 2018</w:t>
      </w:r>
      <w:r w:rsidR="007517D1">
        <w:rPr>
          <w:rFonts w:cs="Garamond"/>
          <w:color w:val="000000"/>
          <w:sz w:val="24"/>
          <w:szCs w:val="24"/>
        </w:rPr>
        <w:t>;</w:t>
      </w:r>
    </w:p>
    <w:p w14:paraId="08E052EC" w14:textId="243A0502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La responsabilità civile e sportiva nella genesi del diritto soggettivo rafforzato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Rassegna di diritto ed economia dello sport</w:t>
      </w:r>
      <w:r w:rsidRPr="007517D1">
        <w:rPr>
          <w:rFonts w:cs="Times"/>
          <w:sz w:val="24"/>
          <w:szCs w:val="24"/>
        </w:rPr>
        <w:t>, 2/2019</w:t>
      </w:r>
      <w:r>
        <w:rPr>
          <w:rFonts w:cs="Times"/>
          <w:sz w:val="24"/>
          <w:szCs w:val="24"/>
        </w:rPr>
        <w:t>;</w:t>
      </w:r>
    </w:p>
    <w:p w14:paraId="20D9D777" w14:textId="020C5924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Simulazione assoluta e revocatoria ordinaria: dicotomia e dialettica di una strana coppia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Pr="007517D1">
        <w:rPr>
          <w:rFonts w:cs="Times"/>
          <w:sz w:val="24"/>
          <w:szCs w:val="24"/>
        </w:rPr>
        <w:t xml:space="preserve">, </w:t>
      </w:r>
      <w:r w:rsidR="00563C28">
        <w:rPr>
          <w:rFonts w:cs="Times"/>
          <w:sz w:val="24"/>
          <w:szCs w:val="24"/>
        </w:rPr>
        <w:t>4</w:t>
      </w:r>
      <w:r w:rsidRPr="007517D1">
        <w:rPr>
          <w:rFonts w:cs="Times"/>
          <w:sz w:val="24"/>
          <w:szCs w:val="24"/>
        </w:rPr>
        <w:t>/2019</w:t>
      </w:r>
      <w:r>
        <w:rPr>
          <w:rFonts w:cs="Times"/>
          <w:sz w:val="24"/>
          <w:szCs w:val="24"/>
        </w:rPr>
        <w:t>;</w:t>
      </w:r>
    </w:p>
    <w:p w14:paraId="602BBEC1" w14:textId="50D64CBD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Contratto autonomo di garanzia (Dei simulacri), abuso di d</w:t>
      </w:r>
      <w:r>
        <w:rPr>
          <w:rFonts w:cs="Times"/>
          <w:i/>
          <w:sz w:val="24"/>
          <w:szCs w:val="24"/>
        </w:rPr>
        <w:t>i</w:t>
      </w:r>
      <w:r w:rsidRPr="007517D1">
        <w:rPr>
          <w:rFonts w:cs="Times"/>
          <w:i/>
          <w:sz w:val="24"/>
          <w:szCs w:val="24"/>
        </w:rPr>
        <w:t>pendenza economica e provvedimento d'urgenza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="00563C28">
        <w:rPr>
          <w:rFonts w:cs="Times"/>
          <w:sz w:val="24"/>
          <w:szCs w:val="24"/>
        </w:rPr>
        <w:t>, 4/2019</w:t>
      </w:r>
      <w:r>
        <w:rPr>
          <w:rFonts w:cs="Times"/>
          <w:sz w:val="24"/>
          <w:szCs w:val="24"/>
        </w:rPr>
        <w:t>.</w:t>
      </w:r>
    </w:p>
    <w:p w14:paraId="0941D9BE" w14:textId="77777777" w:rsidR="001B43C7" w:rsidRPr="001B43C7" w:rsidRDefault="001B43C7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1B43C7">
        <w:rPr>
          <w:rFonts w:cs="Times"/>
          <w:b/>
          <w:sz w:val="24"/>
          <w:szCs w:val="24"/>
        </w:rPr>
        <w:t>Dott.</w:t>
      </w:r>
      <w:r>
        <w:rPr>
          <w:rFonts w:cs="Times"/>
          <w:b/>
          <w:sz w:val="24"/>
          <w:szCs w:val="24"/>
        </w:rPr>
        <w:t>ssa</w:t>
      </w:r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Anna Chiara</w:t>
      </w:r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Scarcelli</w:t>
      </w:r>
    </w:p>
    <w:p w14:paraId="3E4B0984" w14:textId="77777777" w:rsidR="0034113F" w:rsidRPr="00D2165A" w:rsidRDefault="001B43C7" w:rsidP="0034113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Disservizi nella PA e tutela dell'utente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1B43C7">
        <w:rPr>
          <w:rFonts w:cs="Garamond"/>
          <w:color w:val="000000"/>
          <w:sz w:val="24"/>
          <w:szCs w:val="24"/>
        </w:rPr>
        <w:t>.</w:t>
      </w:r>
    </w:p>
    <w:p w14:paraId="5FB8EF55" w14:textId="77777777" w:rsidR="00D2165A" w:rsidRDefault="00D2165A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</w:p>
    <w:p w14:paraId="352FA451" w14:textId="77777777" w:rsidR="00264727" w:rsidRDefault="00264727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47BC031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FEAB1F0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9C55221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273211C2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9BD1DB4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2270147" w14:textId="77777777" w:rsid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4C27CAD" w14:textId="0729301A" w:rsidR="00D2165A" w:rsidRDefault="00D2165A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PUBBLICAZIONI XXXI</w:t>
      </w:r>
      <w:r>
        <w:rPr>
          <w:rFonts w:cs="Garamond"/>
          <w:b/>
          <w:bCs/>
          <w:color w:val="000000"/>
          <w:sz w:val="24"/>
          <w:szCs w:val="24"/>
        </w:rPr>
        <w:t>V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09515FC0" w14:textId="1AD1339B" w:rsidR="00E47D55" w:rsidRPr="00E47D55" w:rsidRDefault="00E47D55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E47D55">
        <w:rPr>
          <w:rFonts w:cs="Times"/>
          <w:b/>
          <w:bCs/>
          <w:color w:val="000000"/>
          <w:sz w:val="24"/>
          <w:szCs w:val="24"/>
        </w:rPr>
        <w:t>XXX</w:t>
      </w:r>
      <w:r>
        <w:rPr>
          <w:rFonts w:cs="Times"/>
          <w:b/>
          <w:bCs/>
          <w:color w:val="000000"/>
          <w:sz w:val="24"/>
          <w:szCs w:val="24"/>
        </w:rPr>
        <w:t>IV</w:t>
      </w:r>
      <w:r w:rsidRPr="00E47D55">
        <w:rPr>
          <w:rFonts w:cs="Times"/>
          <w:b/>
          <w:bCs/>
          <w:color w:val="000000"/>
          <w:sz w:val="24"/>
          <w:szCs w:val="24"/>
        </w:rPr>
        <w:t xml:space="preserve"> CYCLE PUBLICATIONS</w:t>
      </w:r>
    </w:p>
    <w:p w14:paraId="11DDB532" w14:textId="77777777" w:rsidR="00264727" w:rsidRDefault="00264727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</w:p>
    <w:p w14:paraId="5A9031B7" w14:textId="77777777" w:rsidR="00E47D55" w:rsidRDefault="00E47D55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</w:p>
    <w:p w14:paraId="4435C8CC" w14:textId="66B57681" w:rsidR="00D2165A" w:rsidRPr="001B43C7" w:rsidRDefault="00D2165A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Roberto Martin Lopez</w:t>
      </w:r>
    </w:p>
    <w:p w14:paraId="5E650CAE" w14:textId="6B770D07" w:rsidR="00D2165A" w:rsidRDefault="00D2165A" w:rsidP="00D2165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D2165A">
        <w:rPr>
          <w:rFonts w:cs="Times"/>
          <w:i/>
          <w:color w:val="000000"/>
          <w:sz w:val="24"/>
          <w:szCs w:val="24"/>
        </w:rPr>
        <w:t xml:space="preserve">El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deber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confidencialidad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gramStart"/>
      <w:r w:rsidRPr="00D2165A">
        <w:rPr>
          <w:rFonts w:cs="Times"/>
          <w:i/>
          <w:color w:val="000000"/>
          <w:sz w:val="24"/>
          <w:szCs w:val="24"/>
        </w:rPr>
        <w:t>a la</w:t>
      </w:r>
      <w:proofErr w:type="gram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información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obtenida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fase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precontractual</w:t>
      </w:r>
      <w:proofErr w:type="spellEnd"/>
      <w:r w:rsidRPr="00D2165A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sobre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Patrimonial</w:t>
      </w:r>
      <w:proofErr w:type="spellEnd"/>
      <w:r w:rsidRPr="00D2165A">
        <w:rPr>
          <w:rFonts w:cs="Times"/>
          <w:color w:val="000000"/>
          <w:sz w:val="24"/>
          <w:szCs w:val="24"/>
        </w:rPr>
        <w:t>, vol. 7, Salamanca, 2018, pp. 199-214</w:t>
      </w:r>
      <w:r w:rsidR="00B6521C">
        <w:rPr>
          <w:rFonts w:cs="Times"/>
          <w:color w:val="000000"/>
          <w:sz w:val="24"/>
          <w:szCs w:val="24"/>
        </w:rPr>
        <w:t>.</w:t>
      </w:r>
    </w:p>
    <w:p w14:paraId="513BC55F" w14:textId="0A7D620D" w:rsidR="00B6521C" w:rsidRDefault="00B6521C" w:rsidP="00D2165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6521C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interoperabilidad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como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deber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espec</w:t>
      </w:r>
      <w:r w:rsidR="00A57F9A">
        <w:rPr>
          <w:rFonts w:cs="Times"/>
          <w:i/>
          <w:iCs/>
          <w:color w:val="000000"/>
          <w:sz w:val="24"/>
          <w:szCs w:val="24"/>
        </w:rPr>
        <w:t>í</w:t>
      </w:r>
      <w:r w:rsidRPr="00B6521C">
        <w:rPr>
          <w:rFonts w:cs="Times"/>
          <w:i/>
          <w:iCs/>
          <w:color w:val="000000"/>
          <w:sz w:val="24"/>
          <w:szCs w:val="24"/>
        </w:rPr>
        <w:t>fico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informaci</w:t>
      </w:r>
      <w:r w:rsidR="00A57F9A">
        <w:rPr>
          <w:rFonts w:cs="Times"/>
          <w:i/>
          <w:iCs/>
          <w:color w:val="000000"/>
          <w:sz w:val="24"/>
          <w:szCs w:val="24"/>
        </w:rPr>
        <w:t>ó</w:t>
      </w:r>
      <w:r w:rsidRPr="00B6521C">
        <w:rPr>
          <w:rFonts w:cs="Times"/>
          <w:i/>
          <w:iCs/>
          <w:color w:val="000000"/>
          <w:sz w:val="24"/>
          <w:szCs w:val="24"/>
        </w:rPr>
        <w:t>n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en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contrato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suministro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contenidos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servicios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digitales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in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Reflexiones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Privado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Patrimonial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vol. 8, Ratio Legis, 2020, Salamanca, in corso di pubblicazione. </w:t>
      </w:r>
    </w:p>
    <w:p w14:paraId="591BE1F5" w14:textId="55029CF2" w:rsidR="0074468E" w:rsidRDefault="0074468E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74468E">
        <w:rPr>
          <w:rFonts w:cs="Times"/>
          <w:b/>
          <w:bCs/>
          <w:color w:val="000000"/>
          <w:sz w:val="24"/>
          <w:szCs w:val="24"/>
        </w:rPr>
        <w:t>Dott.ssa Emilia Giusti</w:t>
      </w:r>
    </w:p>
    <w:p w14:paraId="45693073" w14:textId="42B64A1E" w:rsidR="00563C28" w:rsidRDefault="0074468E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74468E">
        <w:rPr>
          <w:rFonts w:cs="Times"/>
          <w:color w:val="000000"/>
          <w:sz w:val="24"/>
          <w:szCs w:val="24"/>
        </w:rPr>
        <w:t>1.</w:t>
      </w:r>
      <w:r>
        <w:rPr>
          <w:rFonts w:cs="Times"/>
          <w:color w:val="000000"/>
          <w:sz w:val="24"/>
          <w:szCs w:val="24"/>
        </w:rPr>
        <w:t xml:space="preserve">  </w:t>
      </w:r>
      <w:r w:rsidRPr="0074468E">
        <w:rPr>
          <w:rFonts w:cs="Times"/>
          <w:i/>
          <w:iCs/>
          <w:color w:val="000000"/>
          <w:sz w:val="24"/>
          <w:szCs w:val="24"/>
        </w:rPr>
        <w:t>Intelligenza artificiale e sistema sanitario</w:t>
      </w:r>
      <w:r>
        <w:rPr>
          <w:rFonts w:cs="Times"/>
          <w:color w:val="000000"/>
          <w:sz w:val="24"/>
          <w:szCs w:val="24"/>
        </w:rPr>
        <w:t xml:space="preserve"> in </w:t>
      </w:r>
      <w:r w:rsidRPr="0074468E">
        <w:rPr>
          <w:rFonts w:cs="Times"/>
          <w:i/>
          <w:iCs/>
          <w:color w:val="000000"/>
          <w:sz w:val="24"/>
          <w:szCs w:val="24"/>
        </w:rPr>
        <w:t>Diritto e Salute</w:t>
      </w:r>
      <w:r>
        <w:rPr>
          <w:rFonts w:cs="Times"/>
          <w:color w:val="000000"/>
          <w:sz w:val="24"/>
          <w:szCs w:val="24"/>
        </w:rPr>
        <w:t>, Fascicolo 1/2019, pp. 1- 10</w:t>
      </w:r>
      <w:r w:rsidR="001B6981">
        <w:rPr>
          <w:rFonts w:cs="Times"/>
          <w:color w:val="000000"/>
          <w:sz w:val="24"/>
          <w:szCs w:val="24"/>
        </w:rPr>
        <w:t>.</w:t>
      </w:r>
    </w:p>
    <w:p w14:paraId="66463078" w14:textId="1D9B87D0" w:rsidR="00CC6A13" w:rsidRDefault="005F4358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Danno da demansionamento, prova per presunzioni e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: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 in senso descrittivo</w:t>
      </w:r>
      <w:r>
        <w:rPr>
          <w:rFonts w:cs="Times"/>
          <w:color w:val="000000"/>
          <w:sz w:val="24"/>
          <w:szCs w:val="24"/>
        </w:rPr>
        <w:t xml:space="preserve">, nota a sentenza, Corte di Cassazione, Sezione Lavoro, 25 febbraio 2019, n. 5431 in </w:t>
      </w:r>
      <w:r w:rsidRPr="005F4358">
        <w:rPr>
          <w:rFonts w:cs="Times"/>
          <w:i/>
          <w:iCs/>
          <w:color w:val="000000"/>
          <w:sz w:val="24"/>
          <w:szCs w:val="24"/>
        </w:rPr>
        <w:t>Rassegna di Diritto ed Economia dello Sport</w:t>
      </w:r>
      <w:r>
        <w:rPr>
          <w:rFonts w:cs="Times"/>
          <w:color w:val="000000"/>
          <w:sz w:val="24"/>
          <w:szCs w:val="24"/>
        </w:rPr>
        <w:t xml:space="preserve"> n.1 del 2019.</w:t>
      </w:r>
    </w:p>
    <w:p w14:paraId="72B5EDDB" w14:textId="679FB712" w:rsidR="005F4358" w:rsidRDefault="005F4358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5F4358">
        <w:rPr>
          <w:rFonts w:cs="Times"/>
          <w:i/>
          <w:iCs/>
          <w:color w:val="000000"/>
          <w:sz w:val="24"/>
          <w:szCs w:val="24"/>
        </w:rPr>
        <w:t>Il lascito testamentario dei gameti</w:t>
      </w:r>
      <w:r>
        <w:rPr>
          <w:rFonts w:cs="Times"/>
          <w:color w:val="000000"/>
          <w:sz w:val="24"/>
          <w:szCs w:val="24"/>
        </w:rPr>
        <w:t xml:space="preserve">, in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Rivista </w:t>
      </w:r>
      <w:r>
        <w:rPr>
          <w:rFonts w:cs="Times"/>
          <w:i/>
          <w:iCs/>
          <w:color w:val="000000"/>
          <w:sz w:val="24"/>
          <w:szCs w:val="24"/>
        </w:rPr>
        <w:t>I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taliana di </w:t>
      </w:r>
      <w:r>
        <w:rPr>
          <w:rFonts w:cs="Times"/>
          <w:i/>
          <w:iCs/>
          <w:color w:val="000000"/>
          <w:sz w:val="24"/>
          <w:szCs w:val="24"/>
        </w:rPr>
        <w:t>M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edicina </w:t>
      </w:r>
      <w:r>
        <w:rPr>
          <w:rFonts w:cs="Times"/>
          <w:i/>
          <w:iCs/>
          <w:color w:val="000000"/>
          <w:sz w:val="24"/>
          <w:szCs w:val="24"/>
        </w:rPr>
        <w:t>L</w:t>
      </w:r>
      <w:r w:rsidRPr="005F4358">
        <w:rPr>
          <w:rFonts w:cs="Times"/>
          <w:i/>
          <w:iCs/>
          <w:color w:val="000000"/>
          <w:sz w:val="24"/>
          <w:szCs w:val="24"/>
        </w:rPr>
        <w:t>egale</w:t>
      </w:r>
      <w:r>
        <w:rPr>
          <w:rFonts w:cs="Times"/>
          <w:color w:val="000000"/>
          <w:sz w:val="24"/>
          <w:szCs w:val="24"/>
        </w:rPr>
        <w:t xml:space="preserve"> (in corso di pubblicazione)</w:t>
      </w:r>
    </w:p>
    <w:p w14:paraId="133AEA2A" w14:textId="77777777" w:rsidR="005F4358" w:rsidRDefault="005F4358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</w:p>
    <w:p w14:paraId="7AC947D6" w14:textId="753F29FE" w:rsidR="00563C28" w:rsidRDefault="00563C28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Vincenzo Pasquino</w:t>
      </w:r>
    </w:p>
    <w:p w14:paraId="298C96B7" w14:textId="66C91274" w:rsidR="00563C28" w:rsidRDefault="00563C28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r w:rsidRPr="00B6521C">
        <w:rPr>
          <w:rFonts w:cs="Times"/>
          <w:bCs/>
          <w:i/>
          <w:iCs/>
          <w:sz w:val="24"/>
          <w:szCs w:val="24"/>
        </w:rPr>
        <w:t>Compravendita di animali d’affezione e tutela dei consumatori</w:t>
      </w:r>
      <w:r>
        <w:rPr>
          <w:rFonts w:cs="Times"/>
          <w:bCs/>
          <w:sz w:val="24"/>
          <w:szCs w:val="24"/>
        </w:rPr>
        <w:t xml:space="preserve">, in </w:t>
      </w:r>
      <w:r w:rsidRPr="00B6521C">
        <w:rPr>
          <w:rFonts w:cs="Times"/>
          <w:bCs/>
          <w:i/>
          <w:iCs/>
          <w:sz w:val="24"/>
          <w:szCs w:val="24"/>
        </w:rPr>
        <w:t>Le Corti Umbre</w:t>
      </w:r>
      <w:r>
        <w:rPr>
          <w:rFonts w:cs="Times"/>
          <w:bCs/>
          <w:sz w:val="24"/>
          <w:szCs w:val="24"/>
        </w:rPr>
        <w:t xml:space="preserve"> 2/2018.</w:t>
      </w:r>
    </w:p>
    <w:p w14:paraId="4AD5D4F7" w14:textId="3164A6BD" w:rsidR="00563C28" w:rsidRDefault="00563C28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2. </w:t>
      </w:r>
      <w:r w:rsidR="00B6521C" w:rsidRPr="00B6521C">
        <w:rPr>
          <w:rFonts w:cs="Times"/>
          <w:bCs/>
          <w:i/>
          <w:iCs/>
          <w:sz w:val="24"/>
          <w:szCs w:val="24"/>
        </w:rPr>
        <w:t>Riserve a favore della Giustizia Sportiva: è consentito adire in giudizio in seguito alla lesione di una situazione soggettiva giuridicamente rilevante che comprometta il corretto sviluppo della “attività sportiva</w:t>
      </w:r>
      <w:r w:rsidR="00B6521C">
        <w:rPr>
          <w:rFonts w:cs="Times"/>
          <w:bCs/>
          <w:sz w:val="24"/>
          <w:szCs w:val="24"/>
        </w:rPr>
        <w:t xml:space="preserve">”, in </w:t>
      </w:r>
      <w:r w:rsidR="00B6521C" w:rsidRPr="00B6521C">
        <w:rPr>
          <w:rFonts w:cs="Times"/>
          <w:bCs/>
          <w:i/>
          <w:iCs/>
          <w:sz w:val="24"/>
          <w:szCs w:val="24"/>
        </w:rPr>
        <w:t>Rassegna di Diritto ed Economia dello Sport</w:t>
      </w:r>
      <w:r w:rsidR="00B6521C">
        <w:rPr>
          <w:rFonts w:cs="Times"/>
          <w:bCs/>
          <w:sz w:val="24"/>
          <w:szCs w:val="24"/>
        </w:rPr>
        <w:t>, 2/2019.</w:t>
      </w:r>
    </w:p>
    <w:p w14:paraId="7D5D7759" w14:textId="05B8979B" w:rsid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</w:p>
    <w:p w14:paraId="355D92C5" w14:textId="0659A484" w:rsid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sz w:val="24"/>
          <w:szCs w:val="24"/>
        </w:rPr>
      </w:pPr>
      <w:r w:rsidRPr="0067564B">
        <w:rPr>
          <w:rFonts w:cs="Times"/>
          <w:b/>
          <w:sz w:val="24"/>
          <w:szCs w:val="24"/>
        </w:rPr>
        <w:t>Dott.ssa Victoria Monego Sommer Santos</w:t>
      </w:r>
    </w:p>
    <w:p w14:paraId="3512CA82" w14:textId="5DA1B629" w:rsidR="00B6521C" w:rsidRP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Reflexões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sobre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o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direito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de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arrependimento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no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comércio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eletrônico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e a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atualiza</w:t>
      </w:r>
      <w:bookmarkStart w:id="0" w:name="_Hlk34044401"/>
      <w:r w:rsidRPr="0067564B">
        <w:rPr>
          <w:rFonts w:cs="Times"/>
          <w:bCs/>
          <w:i/>
          <w:iCs/>
          <w:sz w:val="24"/>
          <w:szCs w:val="24"/>
        </w:rPr>
        <w:t>ç</w:t>
      </w:r>
      <w:bookmarkEnd w:id="0"/>
      <w:r w:rsidRPr="0067564B">
        <w:rPr>
          <w:rFonts w:cs="Times"/>
          <w:bCs/>
          <w:i/>
          <w:iCs/>
          <w:sz w:val="24"/>
          <w:szCs w:val="24"/>
        </w:rPr>
        <w:t>ão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do CDC: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contribuições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PL 3.514/2015</w:t>
      </w:r>
      <w:r>
        <w:rPr>
          <w:rFonts w:cs="Times"/>
          <w:bCs/>
          <w:sz w:val="24"/>
          <w:szCs w:val="24"/>
        </w:rPr>
        <w:t xml:space="preserve"> Vol. 126 p. 375-404, </w:t>
      </w:r>
      <w:proofErr w:type="spellStart"/>
      <w:r>
        <w:rPr>
          <w:rFonts w:cs="Times"/>
          <w:bCs/>
          <w:sz w:val="24"/>
          <w:szCs w:val="24"/>
        </w:rPr>
        <w:t>São</w:t>
      </w:r>
      <w:proofErr w:type="spellEnd"/>
      <w:r>
        <w:rPr>
          <w:rFonts w:cs="Times"/>
          <w:bCs/>
          <w:sz w:val="24"/>
          <w:szCs w:val="24"/>
        </w:rPr>
        <w:t xml:space="preserve"> Paulo,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Editora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Revista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dos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Tribunais</w:t>
      </w:r>
      <w:proofErr w:type="spellEnd"/>
      <w:r>
        <w:rPr>
          <w:rFonts w:cs="Times"/>
          <w:bCs/>
          <w:sz w:val="24"/>
          <w:szCs w:val="24"/>
        </w:rPr>
        <w:t xml:space="preserve">. </w:t>
      </w:r>
      <w:proofErr w:type="spellStart"/>
      <w:r>
        <w:rPr>
          <w:rFonts w:cs="Times"/>
          <w:bCs/>
          <w:sz w:val="24"/>
          <w:szCs w:val="24"/>
        </w:rPr>
        <w:t>nov-dez</w:t>
      </w:r>
      <w:proofErr w:type="spellEnd"/>
      <w:r>
        <w:rPr>
          <w:rFonts w:cs="Times"/>
          <w:bCs/>
          <w:sz w:val="24"/>
          <w:szCs w:val="24"/>
        </w:rPr>
        <w:t>/2019.</w:t>
      </w:r>
    </w:p>
    <w:p w14:paraId="75D9294B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E4D411C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0E405558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63AF2FC7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B5C0161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A1499B9" w14:textId="3D68E499" w:rsidR="00B6521C" w:rsidRDefault="00B6521C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PUBBLICAZIONI XXX</w:t>
      </w:r>
      <w:r>
        <w:rPr>
          <w:rFonts w:cs="Garamond"/>
          <w:b/>
          <w:bCs/>
          <w:color w:val="000000"/>
          <w:sz w:val="24"/>
          <w:szCs w:val="24"/>
        </w:rPr>
        <w:t>V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7C169952" w14:textId="5F2A9241" w:rsidR="00E47D55" w:rsidRDefault="00E47D55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E47D55">
        <w:rPr>
          <w:rFonts w:cs="Garamond"/>
          <w:b/>
          <w:bCs/>
          <w:color w:val="000000"/>
          <w:sz w:val="24"/>
          <w:szCs w:val="24"/>
        </w:rPr>
        <w:t>XXX</w:t>
      </w:r>
      <w:r>
        <w:rPr>
          <w:rFonts w:cs="Garamond"/>
          <w:b/>
          <w:bCs/>
          <w:color w:val="000000"/>
          <w:sz w:val="24"/>
          <w:szCs w:val="24"/>
        </w:rPr>
        <w:t>V</w:t>
      </w:r>
      <w:r w:rsidRPr="00E47D55">
        <w:rPr>
          <w:rFonts w:cs="Garamond"/>
          <w:b/>
          <w:bCs/>
          <w:color w:val="000000"/>
          <w:sz w:val="24"/>
          <w:szCs w:val="24"/>
        </w:rPr>
        <w:t xml:space="preserve"> CYCLE PUBLICATIONS</w:t>
      </w:r>
    </w:p>
    <w:p w14:paraId="1DF0686F" w14:textId="4DEF8AB0" w:rsidR="00CC6A13" w:rsidRDefault="00B6521C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B6521C">
        <w:rPr>
          <w:rFonts w:cs="Times"/>
          <w:b/>
          <w:bCs/>
          <w:color w:val="000000"/>
          <w:sz w:val="24"/>
          <w:szCs w:val="24"/>
        </w:rPr>
        <w:t xml:space="preserve">Dott. Giuliano </w:t>
      </w:r>
      <w:proofErr w:type="spellStart"/>
      <w:r w:rsidRPr="00B6521C">
        <w:rPr>
          <w:rFonts w:cs="Times"/>
          <w:b/>
          <w:bCs/>
          <w:color w:val="000000"/>
          <w:sz w:val="24"/>
          <w:szCs w:val="24"/>
        </w:rPr>
        <w:t>Mattace</w:t>
      </w:r>
      <w:proofErr w:type="spellEnd"/>
    </w:p>
    <w:p w14:paraId="5BDE61CD" w14:textId="0C381623" w:rsidR="003B672A" w:rsidRDefault="00B6521C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L</w:t>
      </w:r>
      <w:r w:rsidRPr="003B672A">
        <w:rPr>
          <w:rFonts w:cs="Times"/>
          <w:i/>
          <w:iCs/>
          <w:color w:val="000000"/>
          <w:sz w:val="24"/>
          <w:szCs w:val="24"/>
        </w:rPr>
        <w:t>’acquisto del diritto su un box auto sito all’interno di un condominio. Nota a sentenza Corte di Cassazione, Seconda Sez. civile, 14 giugno 2018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, n. 16070</w:t>
      </w:r>
      <w:r w:rsidR="003B672A">
        <w:rPr>
          <w:rFonts w:cs="Times"/>
          <w:color w:val="000000"/>
          <w:sz w:val="24"/>
          <w:szCs w:val="24"/>
        </w:rPr>
        <w:t xml:space="preserve">, in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Rivista Giuridica Sarda</w:t>
      </w:r>
      <w:r w:rsidR="003B672A">
        <w:rPr>
          <w:rFonts w:cs="Times"/>
          <w:color w:val="000000"/>
          <w:sz w:val="24"/>
          <w:szCs w:val="24"/>
        </w:rPr>
        <w:t xml:space="preserve"> (in via di approvazione). </w:t>
      </w:r>
    </w:p>
    <w:p w14:paraId="49CA5EFE" w14:textId="77777777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</w:p>
    <w:p w14:paraId="65CFF515" w14:textId="79A854CE" w:rsidR="00CC6A13" w:rsidRP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Dott.ssa Caputo Valeria</w:t>
      </w:r>
    </w:p>
    <w:p w14:paraId="6BDC0C10" w14:textId="4DA510A7" w:rsidR="00CC6A13" w:rsidRPr="00CC6A13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Brevi riflessioni in materia di usucapione: il fatto che rincorre il diritto</w:t>
      </w:r>
      <w:r>
        <w:rPr>
          <w:rFonts w:cs="Times"/>
          <w:color w:val="000000"/>
          <w:sz w:val="24"/>
          <w:szCs w:val="24"/>
        </w:rPr>
        <w:t xml:space="preserve">,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>
        <w:rPr>
          <w:rFonts w:cs="Times"/>
          <w:color w:val="000000"/>
          <w:sz w:val="24"/>
          <w:szCs w:val="24"/>
        </w:rPr>
        <w:t xml:space="preserve"> (in corso di stampa).</w:t>
      </w:r>
    </w:p>
    <w:p w14:paraId="1562F935" w14:textId="77777777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</w:p>
    <w:p w14:paraId="16634591" w14:textId="3CBC0D9C" w:rsidR="00CC6A13" w:rsidRP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 Gabriele Toscano</w:t>
      </w:r>
    </w:p>
    <w:p w14:paraId="61431863" w14:textId="592B1CBD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Il doping sportivo nel prisma del diritto civile: profili di responsabilità a confronto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Giustizia civile</w:t>
      </w:r>
      <w:r>
        <w:rPr>
          <w:rFonts w:cs="Times"/>
          <w:color w:val="000000"/>
          <w:sz w:val="24"/>
          <w:szCs w:val="24"/>
        </w:rPr>
        <w:t xml:space="preserve"> 2020, ISSN 2420-9651 (in corso di pubblicazione).</w:t>
      </w:r>
    </w:p>
    <w:p w14:paraId="65FA5367" w14:textId="3A05B30E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3B672A">
        <w:rPr>
          <w:rFonts w:cs="Times"/>
          <w:i/>
          <w:iCs/>
          <w:color w:val="000000"/>
          <w:sz w:val="24"/>
          <w:szCs w:val="24"/>
        </w:rPr>
        <w:t>La sottoscrizione apocrifa del tesseramento sportivo: risvolti privatistici e tutela dell’atleta</w:t>
      </w:r>
      <w:r>
        <w:rPr>
          <w:rFonts w:cs="Times"/>
          <w:color w:val="000000"/>
          <w:sz w:val="24"/>
          <w:szCs w:val="24"/>
        </w:rPr>
        <w:t xml:space="preserve">, </w:t>
      </w:r>
      <w:r w:rsidRPr="003B672A">
        <w:rPr>
          <w:rFonts w:cs="Times"/>
          <w:i/>
          <w:iCs/>
          <w:color w:val="000000"/>
          <w:sz w:val="24"/>
          <w:szCs w:val="24"/>
        </w:rPr>
        <w:t>Rivista di Diritto ed Economia dello Sport</w:t>
      </w:r>
      <w:r>
        <w:rPr>
          <w:rFonts w:cs="Times"/>
          <w:color w:val="000000"/>
          <w:sz w:val="24"/>
          <w:szCs w:val="24"/>
        </w:rPr>
        <w:t>, 2019, ISSN 1825-6678, fasc. 3, pp.135-141.</w:t>
      </w:r>
    </w:p>
    <w:p w14:paraId="07B2F762" w14:textId="10FF3070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3B672A">
        <w:rPr>
          <w:rFonts w:cs="Times"/>
          <w:i/>
          <w:iCs/>
          <w:color w:val="000000"/>
          <w:sz w:val="24"/>
          <w:szCs w:val="24"/>
        </w:rPr>
        <w:t>Danno per responsabilità del costruttore e tutela dell’acquirente,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>
        <w:rPr>
          <w:rFonts w:cs="Times"/>
          <w:color w:val="000000"/>
          <w:sz w:val="24"/>
          <w:szCs w:val="24"/>
        </w:rPr>
        <w:t>, 2020, ISSN 2282-1279 (in attesa di approvazione).</w:t>
      </w:r>
    </w:p>
    <w:p w14:paraId="28F1E56C" w14:textId="62FB2491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</w:p>
    <w:p w14:paraId="57B6C1B1" w14:textId="0DCD419E" w:rsidR="00CC6A13" w:rsidRP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CC6A13">
        <w:rPr>
          <w:rFonts w:cs="Times"/>
          <w:b/>
          <w:bCs/>
          <w:color w:val="000000"/>
          <w:sz w:val="24"/>
          <w:szCs w:val="24"/>
        </w:rPr>
        <w:t>Dott.ssa Cecilia Celeste Danesi</w:t>
      </w:r>
    </w:p>
    <w:p w14:paraId="165AFC31" w14:textId="5E0B21E1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CC6A13">
        <w:rPr>
          <w:rFonts w:cs="Times"/>
          <w:i/>
          <w:iCs/>
          <w:color w:val="000000"/>
          <w:sz w:val="24"/>
          <w:szCs w:val="24"/>
        </w:rPr>
        <w:t>Assistenti giuridici digitali: l’impatto dell’intelligenza artificiale nel procedimento giudiziario</w:t>
      </w:r>
      <w:r>
        <w:rPr>
          <w:rFonts w:cs="Times"/>
          <w:color w:val="000000"/>
          <w:sz w:val="24"/>
          <w:szCs w:val="24"/>
        </w:rPr>
        <w:t xml:space="preserve">, coautore </w:t>
      </w:r>
      <w:proofErr w:type="spellStart"/>
      <w:r>
        <w:rPr>
          <w:rFonts w:cs="Times"/>
          <w:color w:val="000000"/>
          <w:sz w:val="24"/>
          <w:szCs w:val="24"/>
        </w:rPr>
        <w:t>Noelia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proofErr w:type="spellStart"/>
      <w:r>
        <w:rPr>
          <w:rFonts w:cs="Times"/>
          <w:color w:val="000000"/>
          <w:sz w:val="24"/>
          <w:szCs w:val="24"/>
        </w:rPr>
        <w:t>Mitelli</w:t>
      </w:r>
      <w:proofErr w:type="spellEnd"/>
      <w:r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CC6A13">
        <w:rPr>
          <w:rFonts w:cs="Times"/>
          <w:i/>
          <w:iCs/>
          <w:color w:val="000000"/>
          <w:sz w:val="24"/>
          <w:szCs w:val="24"/>
        </w:rPr>
        <w:t>Erreius</w:t>
      </w:r>
      <w:proofErr w:type="spellEnd"/>
      <w:r w:rsidRPr="00CC6A13">
        <w:rPr>
          <w:rFonts w:cs="Times"/>
          <w:i/>
          <w:iCs/>
          <w:color w:val="000000"/>
          <w:sz w:val="24"/>
          <w:szCs w:val="24"/>
        </w:rPr>
        <w:t>, Edizione speciale, Diritto, Tecnologia e Innovazione</w:t>
      </w:r>
      <w:r>
        <w:rPr>
          <w:rFonts w:cs="Times"/>
          <w:color w:val="000000"/>
          <w:sz w:val="24"/>
          <w:szCs w:val="24"/>
        </w:rPr>
        <w:t>, dicembre 2019.</w:t>
      </w:r>
    </w:p>
    <w:p w14:paraId="15C5A14D" w14:textId="15E664D0" w:rsidR="00CC6A13" w:rsidRPr="00B6521C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CC6A13">
        <w:rPr>
          <w:rFonts w:cs="Times"/>
          <w:i/>
          <w:iCs/>
          <w:color w:val="000000"/>
          <w:sz w:val="24"/>
          <w:szCs w:val="24"/>
        </w:rPr>
        <w:t>Violenza nella rete sociale. Azioni giudiziarie o norme e algoritmi come chiave per la prevenzione dei danni?</w:t>
      </w:r>
      <w:r>
        <w:rPr>
          <w:rFonts w:cs="Times"/>
          <w:color w:val="000000"/>
          <w:sz w:val="24"/>
          <w:szCs w:val="24"/>
        </w:rPr>
        <w:t xml:space="preserve"> Coautore Sandra </w:t>
      </w:r>
      <w:proofErr w:type="spellStart"/>
      <w:r>
        <w:rPr>
          <w:rFonts w:cs="Times"/>
          <w:color w:val="000000"/>
          <w:sz w:val="24"/>
          <w:szCs w:val="24"/>
        </w:rPr>
        <w:t>Wierzba</w:t>
      </w:r>
      <w:proofErr w:type="spellEnd"/>
      <w:r>
        <w:rPr>
          <w:rFonts w:cs="Times"/>
          <w:color w:val="000000"/>
          <w:sz w:val="24"/>
          <w:szCs w:val="24"/>
        </w:rPr>
        <w:t xml:space="preserve">, </w:t>
      </w:r>
      <w:r w:rsidRPr="00CC6A13">
        <w:rPr>
          <w:rFonts w:cs="Times"/>
          <w:i/>
          <w:iCs/>
          <w:color w:val="000000"/>
          <w:sz w:val="24"/>
          <w:szCs w:val="24"/>
        </w:rPr>
        <w:t>La Ley (Thomson Reuters),</w:t>
      </w:r>
      <w:r>
        <w:rPr>
          <w:rFonts w:cs="Times"/>
          <w:color w:val="000000"/>
          <w:sz w:val="24"/>
          <w:szCs w:val="24"/>
        </w:rPr>
        <w:t xml:space="preserve"> febbraio 2020.</w:t>
      </w:r>
    </w:p>
    <w:p w14:paraId="02F2DCFD" w14:textId="77777777" w:rsidR="00B6521C" w:rsidRPr="00563C28" w:rsidRDefault="00B6521C" w:rsidP="00B6521C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Cs/>
          <w:sz w:val="24"/>
          <w:szCs w:val="24"/>
        </w:rPr>
      </w:pPr>
    </w:p>
    <w:sectPr w:rsidR="00B6521C" w:rsidRPr="00563C28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2135"/>
    <w:multiLevelType w:val="hybridMultilevel"/>
    <w:tmpl w:val="6B7A9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0F7"/>
    <w:multiLevelType w:val="hybridMultilevel"/>
    <w:tmpl w:val="98D0C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1E90"/>
    <w:multiLevelType w:val="hybridMultilevel"/>
    <w:tmpl w:val="85E41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94AF7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84A10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50E23"/>
    <w:multiLevelType w:val="hybridMultilevel"/>
    <w:tmpl w:val="D448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7795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709FF"/>
    <w:multiLevelType w:val="hybridMultilevel"/>
    <w:tmpl w:val="6E7A9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E1581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631CCD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37072B8"/>
    <w:multiLevelType w:val="hybridMultilevel"/>
    <w:tmpl w:val="AF40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1F22"/>
    <w:multiLevelType w:val="hybridMultilevel"/>
    <w:tmpl w:val="46687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214F1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35052"/>
    <w:multiLevelType w:val="hybridMultilevel"/>
    <w:tmpl w:val="59C45096"/>
    <w:lvl w:ilvl="0" w:tplc="9A7A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91CDA"/>
    <w:multiLevelType w:val="hybridMultilevel"/>
    <w:tmpl w:val="FC5AA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D177E"/>
    <w:multiLevelType w:val="hybridMultilevel"/>
    <w:tmpl w:val="34865EE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D6C1E"/>
    <w:multiLevelType w:val="hybridMultilevel"/>
    <w:tmpl w:val="339A2BFC"/>
    <w:lvl w:ilvl="0" w:tplc="CAD27B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15611"/>
    <w:multiLevelType w:val="hybridMultilevel"/>
    <w:tmpl w:val="2E526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D002E"/>
    <w:multiLevelType w:val="hybridMultilevel"/>
    <w:tmpl w:val="4998E1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7468"/>
    <w:multiLevelType w:val="hybridMultilevel"/>
    <w:tmpl w:val="FA88BF46"/>
    <w:lvl w:ilvl="0" w:tplc="600287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9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B"/>
    <w:rsid w:val="00070006"/>
    <w:rsid w:val="000C605C"/>
    <w:rsid w:val="00107C64"/>
    <w:rsid w:val="00126EAD"/>
    <w:rsid w:val="0013599F"/>
    <w:rsid w:val="001558BD"/>
    <w:rsid w:val="001B43C7"/>
    <w:rsid w:val="001B6981"/>
    <w:rsid w:val="00264727"/>
    <w:rsid w:val="002E22E3"/>
    <w:rsid w:val="002E5BBB"/>
    <w:rsid w:val="002F097D"/>
    <w:rsid w:val="0034113F"/>
    <w:rsid w:val="003B672A"/>
    <w:rsid w:val="003D6202"/>
    <w:rsid w:val="004D1D44"/>
    <w:rsid w:val="004F28AD"/>
    <w:rsid w:val="00547FD8"/>
    <w:rsid w:val="00563C28"/>
    <w:rsid w:val="00597D93"/>
    <w:rsid w:val="005A4B4A"/>
    <w:rsid w:val="005F4358"/>
    <w:rsid w:val="005F7107"/>
    <w:rsid w:val="0061624C"/>
    <w:rsid w:val="00665B53"/>
    <w:rsid w:val="0067564B"/>
    <w:rsid w:val="006A1082"/>
    <w:rsid w:val="0074468E"/>
    <w:rsid w:val="007517D1"/>
    <w:rsid w:val="007873D1"/>
    <w:rsid w:val="007D4F58"/>
    <w:rsid w:val="00842114"/>
    <w:rsid w:val="00923491"/>
    <w:rsid w:val="009E4486"/>
    <w:rsid w:val="00A527F9"/>
    <w:rsid w:val="00A57F9A"/>
    <w:rsid w:val="00A71A41"/>
    <w:rsid w:val="00B1549A"/>
    <w:rsid w:val="00B45FD9"/>
    <w:rsid w:val="00B47308"/>
    <w:rsid w:val="00B6521C"/>
    <w:rsid w:val="00BD71C5"/>
    <w:rsid w:val="00CC6A13"/>
    <w:rsid w:val="00D0161B"/>
    <w:rsid w:val="00D2165A"/>
    <w:rsid w:val="00D52875"/>
    <w:rsid w:val="00E47D55"/>
    <w:rsid w:val="00F13108"/>
    <w:rsid w:val="00F85261"/>
    <w:rsid w:val="00F93F18"/>
    <w:rsid w:val="00FA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3AE"/>
  <w15:docId w15:val="{BDB91C8D-58D5-6D49-B0CC-65FF3B8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7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A1082"/>
    <w:rPr>
      <w:i/>
      <w:iCs/>
    </w:rPr>
  </w:style>
  <w:style w:type="character" w:customStyle="1" w:styleId="apple-converted-space">
    <w:name w:val="apple-converted-space"/>
    <w:basedOn w:val="Carpredefinitoparagrafo"/>
    <w:rsid w:val="006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2</cp:revision>
  <dcterms:created xsi:type="dcterms:W3CDTF">2020-05-28T14:24:00Z</dcterms:created>
  <dcterms:modified xsi:type="dcterms:W3CDTF">2020-05-28T14:24:00Z</dcterms:modified>
</cp:coreProperties>
</file>